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Times New Roman" w:hAnsi="Times New Roman" w:cs="Times New Roman"/>
          <w:b/>
          <w:color w:val="1F497D"/>
          <w:sz w:val="40"/>
          <w:szCs w:val="40"/>
        </w:rPr>
      </w:pPr>
      <w:bookmarkStart w:id="0" w:name="_GoBack"/>
      <w:bookmarkEnd w:id="0"/>
      <w:r>
        <w:rPr>
          <w:rFonts w:ascii="Times New Roman" w:hAnsi="Times New Roman" w:cs="Times New Roman"/>
          <w:b/>
          <w:color w:val="1F497D"/>
          <w:sz w:val="40"/>
          <w:szCs w:val="40"/>
        </w:rPr>
        <w:t>SMERNICE I PREPORUKE ZA RAD ŠKOLA TOKOM ŠKOLSKE 2023/2024. GODINE</w:t>
      </w:r>
    </w:p>
    <w:p>
      <w:pPr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i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i/>
          <w:color w:val="1F497D"/>
          <w:sz w:val="24"/>
          <w:szCs w:val="24"/>
        </w:rPr>
        <w:t xml:space="preserve">Građanski savet za vandredne i krizne situacije je neformalno radno telo </w:t>
      </w:r>
      <w:r>
        <w:rPr>
          <w:rFonts w:ascii="Times New Roman" w:hAnsi="Times New Roman" w:cs="Times New Roman"/>
          <w:b/>
          <w:i/>
          <w:color w:val="1F497D"/>
          <w:sz w:val="24"/>
          <w:szCs w:val="24"/>
          <w:lang w:val="en-US"/>
        </w:rPr>
        <w:t>osnovano pri Društvu za održivu budućnost - Koraci,</w:t>
      </w:r>
      <w:r>
        <w:rPr>
          <w:rFonts w:ascii="Times New Roman" w:hAnsi="Times New Roman" w:cs="Times New Roman"/>
          <w:b/>
          <w:i/>
          <w:color w:val="1F497D"/>
          <w:sz w:val="24"/>
          <w:szCs w:val="24"/>
        </w:rPr>
        <w:t xml:space="preserve"> sastavljeno od trideset stručnjaka/inja iz različitih oblasti (i drugih aktera), koji kroz otvoreni konsultativni proces, treću godinu zaredom, definišu smernice i preporuke za rad škola u vanrednim i kriznim situacijama i upućuju ih institucijama, medijima i najširoj javnosti na razmatranje.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*Napomena: Smernice i preporuke ne sadrže tehničke konkretizacije, već ukazuju na ključne probleme u obrazovnom sistemu Srbije, pružajući okvir za pravljenje akcionih planova i definišući širi krug aktera koje je neophodno uključiti u taj proces - od nadležnih institucija sistema do ostalih društvenih delatnika.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>**Kada je reč o OOŠ „Vladislav Ribnikar“, zbog velike specifičnosti i osetljivosti problema i teme, mišljenje eksperata iz Građanskog saveta za vanredne i krizne situacije je da se nova školska godina u ovoj školi mora odvijati uz Multidisciplinarni tim za podršku koji će nastavnicima, stručnim službama, roditeljima i porodicama dece koja pohađaju ovu školu, ali i samoj deci biti uvek dostupan, uz, naravno, jasno definisane smernice i pojedinosti o načinima organizacije kako tehničkih tako i suštinskih stvari i pristupa u realizaciji nastave i školskog života.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Kako je propušteno dragoceno vreme da se pripremi poseban, ali program koji ne narušava obrazovni proces i program koji omogućava punu detraumatizaju i integraciju đaka i roditelja - neophodno je hitno formirati tim stručnjaka koji će, uz predstavnike nadležnih institucija i roditelje dece koja pohađaju OOŠ „Vladislav Ribnikar“, napraviti sveobuhvatan plan ne samo o načinima organizacije nastave već i o budućnosti ove škole. 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Postoji široka saglasnost da je u predstojećoj školskoj godini prvi prioritet obezbediti i garantovati bezbednost učenika, nastavnika i svih drugih koji rade u školama, vratiti poljuljano poverenje ne samo u škole i obrazovanje, već i sve aktere u tom procesu i, u meri u kojoj je to moguće, obezbediti kvalitetno obrazovanje i adekvatnu dinamik</w:t>
      </w:r>
      <w:r>
        <w:rPr>
          <w:rFonts w:ascii="Times New Roman" w:hAnsi="Times New Roman" w:cs="Times New Roman"/>
          <w:sz w:val="24"/>
          <w:szCs w:val="24"/>
          <w:lang w:val="en-US"/>
        </w:rPr>
        <w:t>u</w:t>
      </w:r>
      <w:r>
        <w:rPr>
          <w:rFonts w:ascii="Times New Roman" w:hAnsi="Times New Roman" w:cs="Times New Roman"/>
          <w:sz w:val="24"/>
          <w:szCs w:val="24"/>
        </w:rPr>
        <w:t xml:space="preserve"> obrazovnog procesa u izmenjenim okolnostima, prouzrokovanim događajima od 3. i 4. maja u O</w:t>
      </w:r>
      <w:r>
        <w:rPr>
          <w:rFonts w:ascii="Times New Roman" w:hAnsi="Times New Roman" w:cs="Times New Roman"/>
          <w:sz w:val="24"/>
          <w:szCs w:val="24"/>
          <w:lang w:val="en-US"/>
        </w:rPr>
        <w:t>O</w:t>
      </w:r>
      <w:r>
        <w:rPr>
          <w:rFonts w:ascii="Times New Roman" w:hAnsi="Times New Roman" w:cs="Times New Roman"/>
          <w:sz w:val="24"/>
          <w:szCs w:val="24"/>
        </w:rPr>
        <w:t>Š „Vladislav Ribnikar“  u Beogradu i selima Dubona i Malo Orašje kod Mladenovca u kojima je, u masovnim ubistvima, stradalo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sedamnaestoro dece i mladih i jedna odrasla osoba, a ranjeno dvadesetoro.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Takođe, postoji saglasnost da će potrebe i uslovi u kojima će raditi škole biti veoma različiti i da svaka škola treba organizovati svoj rad na način koji je najbolji za okolnosti u kojima funkcioniše (prostorni, ljudski i materijalni resursi).</w:t>
      </w:r>
    </w:p>
    <w:p>
      <w:pPr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Škole su ključni akteri u novonastalim okolnostima, a celo društvo treba da ih podrži i pomogne u izazovima koji su pred njima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>u novoj školskoj godini.</w:t>
      </w: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skladu sa tim, predlažemo sledeće: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>Da bi svaka škola mogla da odgovori na izazove rada u novim okolnostima, potrebno je da se uspostavi kontinuirana i osmišljena komunikacija i saradnja između škole, roditelja i učenika, a Ministarstvo prosvete, školske uprave, zavodi i lokalne samouprave treba da obezbede potrebnu podršku u resursima</w:t>
      </w:r>
      <w:r>
        <w:rPr>
          <w:rStyle w:val="10"/>
          <w:rFonts w:ascii="Times New Roman" w:hAnsi="Times New Roman" w:cs="Times New Roman"/>
          <w:sz w:val="24"/>
          <w:szCs w:val="24"/>
        </w:rPr>
        <w:footnoteReference w:id="0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>Prosvetna inspekcija u narednoj školskoj godini treba da pruža podršku školama i nastavnicima</w:t>
      </w:r>
      <w:r>
        <w:rPr>
          <w:rStyle w:val="10"/>
          <w:rFonts w:ascii="Times New Roman" w:hAnsi="Times New Roman" w:cs="Times New Roman"/>
          <w:bCs/>
          <w:sz w:val="24"/>
          <w:szCs w:val="24"/>
        </w:rPr>
        <w:footnoteReference w:id="1"/>
      </w:r>
      <w:r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Pošto  očekujemo da će različite škole funkcionisati na različite načine, neophodno je da se tokom naredne školske godine ne primenjuju ustaljene metode nadzora u školama. Sve institucije i stručnjaci koji u obrazovnom sistemu u redovnim okolnostima rade na nadzoru škola treba da u narednoj školskoj godini pružaju stručnu podršku školama i da pomognu Ministarstvu da identifikuje </w:t>
      </w:r>
      <w:r>
        <w:rPr>
          <w:rFonts w:ascii="Times New Roman" w:hAnsi="Times New Roman" w:cs="Times New Roman"/>
          <w:color w:val="000000"/>
          <w:sz w:val="24"/>
          <w:szCs w:val="24"/>
        </w:rPr>
        <w:t>potrebe svake od škola,</w:t>
      </w:r>
      <w:r>
        <w:rPr>
          <w:rFonts w:ascii="Times New Roman" w:hAnsi="Times New Roman" w:cs="Times New Roman"/>
          <w:color w:val="000000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kako bi one bile u mogućnosti da odgovore zadatku</w:t>
      </w:r>
      <w:r>
        <w:rPr>
          <w:rStyle w:val="10"/>
          <w:rFonts w:ascii="Times New Roman" w:hAnsi="Times New Roman" w:cs="Times New Roman"/>
          <w:sz w:val="24"/>
          <w:szCs w:val="24"/>
        </w:rPr>
        <w:footnoteReference w:id="2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Budući da je osiguranje kvaliteta i kontunititeta obrazovnog procesa kroz nastavu jedan od osnovnih principa „Smernica za organizaciju obrazovno-vaspitnog rada u osnovnim i srednjim školama u školskoj 2023/2024. godini“ bilo bi dobro </w:t>
      </w:r>
      <w:r>
        <w:rPr>
          <w:rFonts w:ascii="Times New Roman" w:hAnsi="Times New Roman" w:cs="Times New Roman"/>
          <w:b/>
          <w:sz w:val="24"/>
          <w:szCs w:val="24"/>
        </w:rPr>
        <w:t>da nastavnici u najvećoj mogućoj meri budu oslobođeni formalnih administrativnih obaveza kroz pedagošku dokumentaciju</w:t>
      </w:r>
      <w:r>
        <w:rPr>
          <w:rFonts w:ascii="Times New Roman" w:hAnsi="Times New Roman" w:cs="Times New Roman"/>
          <w:sz w:val="24"/>
          <w:szCs w:val="24"/>
        </w:rPr>
        <w:t xml:space="preserve"> (što aktuelne smernice ne predviđaju, već nastavnicima nameću niz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dodatnih</w:t>
      </w:r>
      <w:r>
        <w:rPr>
          <w:rFonts w:ascii="Times New Roman" w:hAnsi="Times New Roman" w:cs="Times New Roman"/>
          <w:sz w:val="24"/>
          <w:szCs w:val="24"/>
        </w:rPr>
        <w:t xml:space="preserve"> birokratskih obaveza). Istovremeno, predlažemo </w:t>
      </w:r>
      <w:r>
        <w:rPr>
          <w:rFonts w:ascii="Times New Roman" w:hAnsi="Times New Roman" w:cs="Times New Roman"/>
          <w:b/>
          <w:sz w:val="24"/>
          <w:szCs w:val="24"/>
        </w:rPr>
        <w:t>da se nastavnicima omogući potpuna autonomija i sloboda u kreiranju i oblikovanju nastavnih sadržaja</w:t>
      </w:r>
      <w:r>
        <w:rPr>
          <w:rFonts w:ascii="Times New Roman" w:hAnsi="Times New Roman" w:cs="Times New Roman"/>
          <w:sz w:val="24"/>
          <w:szCs w:val="24"/>
        </w:rPr>
        <w:t xml:space="preserve"> (i van zvaničnog  plana i programa rada), što bi obezbedilo pružanje dodatne podrške učenicima u učenju i psiho-socijalnu podršku njima i njihovim porodicama. Sve ovo je neophodno ozvaničiti podzakonskim aktima, koje bi MP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dostavilo direktorima ustanova obrazovanja i vaspitanja</w:t>
      </w:r>
      <w:r>
        <w:rPr>
          <w:rStyle w:val="10"/>
          <w:rFonts w:ascii="Times New Roman" w:hAnsi="Times New Roman" w:cs="Times New Roman"/>
          <w:sz w:val="24"/>
          <w:szCs w:val="24"/>
        </w:rPr>
        <w:footnoteReference w:id="3"/>
      </w:r>
      <w:r>
        <w:rPr>
          <w:rFonts w:ascii="Times New Roman" w:hAnsi="Times New Roman" w:cs="Times New Roman"/>
          <w:sz w:val="24"/>
          <w:szCs w:val="24"/>
        </w:rPr>
        <w:t>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</w:rPr>
        <w:t xml:space="preserve">Kako nema </w:t>
      </w: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idealnih </w:t>
      </w:r>
      <w:r>
        <w:rPr>
          <w:rFonts w:ascii="Times New Roman" w:hAnsi="Times New Roman" w:cs="Times New Roman"/>
          <w:bCs/>
          <w:sz w:val="24"/>
          <w:szCs w:val="24"/>
        </w:rPr>
        <w:t xml:space="preserve">rešenja za predstojeću školsku godinu, ona ipak pruža priliku da deca nauče važne životne lekcije. </w:t>
      </w:r>
      <w:r>
        <w:rPr>
          <w:rFonts w:ascii="Times New Roman" w:hAnsi="Times New Roman" w:cs="Times New Roman"/>
          <w:b/>
          <w:sz w:val="24"/>
          <w:szCs w:val="24"/>
        </w:rPr>
        <w:t xml:space="preserve">Treba otvoreno reći da naredna školska godina ne može biti redovna i da nema 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idealnih rešenja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  <w:r>
        <w:rPr>
          <w:rFonts w:ascii="Times New Roman" w:hAnsi="Times New Roman" w:cs="Times New Roman"/>
          <w:b/>
          <w:bCs/>
          <w:sz w:val="24"/>
          <w:szCs w:val="24"/>
        </w:rPr>
        <w:t>Uspeh u na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rednoj š</w:t>
      </w:r>
      <w:r>
        <w:rPr>
          <w:rFonts w:ascii="Times New Roman" w:hAnsi="Times New Roman" w:cs="Times New Roman"/>
          <w:b/>
          <w:bCs/>
          <w:sz w:val="24"/>
          <w:szCs w:val="24"/>
        </w:rPr>
        <w:t>kolskoj godini ne treba meriti prvenstveno time koliko su učenici naučili tokom školske godine, niti u kojo</w:t>
      </w:r>
      <w:r>
        <w:rPr>
          <w:rFonts w:ascii="Times New Roman" w:hAnsi="Times New Roman" w:cs="Times New Roman"/>
          <w:b/>
          <w:sz w:val="24"/>
          <w:szCs w:val="24"/>
        </w:rPr>
        <w:t>j meri su ostvareni obrazovni ciljevi, nastavni planovi i programi, već u koj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oj meri su škole</w:t>
      </w:r>
      <w:r>
        <w:rPr>
          <w:rFonts w:ascii="Times New Roman" w:hAnsi="Times New Roman" w:cs="Times New Roman"/>
          <w:b/>
          <w:sz w:val="24"/>
          <w:szCs w:val="24"/>
        </w:rPr>
        <w:t xml:space="preserve">, roditelji i učenici uspeli da se udruže i da kroz saradnju iskoriste školsku godinu na najbolji mogući način. </w:t>
      </w:r>
      <w:r>
        <w:rPr>
          <w:rFonts w:ascii="Times New Roman" w:hAnsi="Times New Roman" w:cs="Times New Roman"/>
          <w:sz w:val="24"/>
          <w:szCs w:val="24"/>
        </w:rPr>
        <w:t xml:space="preserve">Možda će učenici imati brojne „rupe u znanju“ koje ne bi imali u redovnim okolnostima, ali ako zajedno za svojim nastavnicima i roditeljima naučne važne životne lekcije, naredna školska godina će ostvariti svoju svrhu u punoj meri. „Rupe u znanju“ će se lako nadoknaditi nakon konsolidacije u organizaciji rada škola i celokupnog obrazovnog procesa. </w:t>
      </w:r>
    </w:p>
    <w:p>
      <w:pPr>
        <w:jc w:val="both"/>
        <w:rPr>
          <w:rFonts w:ascii="Times New Roman" w:hAnsi="Times New Roman" w:cs="Times New Roman"/>
          <w:b/>
          <w:bCs/>
          <w:color w:val="365F91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b/>
          <w:color w:val="1F497D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1F497D"/>
          <w:sz w:val="24"/>
          <w:szCs w:val="24"/>
        </w:rPr>
        <w:t xml:space="preserve">Septembar kao pripremni mesec </w:t>
      </w:r>
    </w:p>
    <w:p>
      <w:pPr>
        <w:numPr>
          <w:ilvl w:val="0"/>
          <w:numId w:val="0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Napore Ministarstva i Zavoda za pripremu predstojeće školske godine svakako </w:t>
      </w:r>
      <w:r>
        <w:rPr>
          <w:rFonts w:ascii="Times New Roman" w:hAnsi="Times New Roman" w:cs="Times New Roman"/>
          <w:color w:val="000000"/>
          <w:sz w:val="24"/>
          <w:szCs w:val="24"/>
        </w:rPr>
        <w:t>treba priznati i podržati.</w:t>
      </w:r>
      <w:r>
        <w:rPr>
          <w:rFonts w:ascii="Times New Roman" w:hAnsi="Times New Roman" w:cs="Times New Roman"/>
          <w:sz w:val="24"/>
          <w:szCs w:val="24"/>
        </w:rPr>
        <w:t xml:space="preserve"> Ipak, čini se da i dalje postoje brojne,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značajne</w:t>
      </w:r>
      <w:r>
        <w:rPr>
          <w:rFonts w:ascii="Times New Roman" w:hAnsi="Times New Roman" w:cs="Times New Roman"/>
          <w:sz w:val="24"/>
          <w:szCs w:val="24"/>
        </w:rPr>
        <w:t xml:space="preserve"> brige, strahovi, nejasnoće i osećaj nesigurnosti među roditeljima, nastavnicima i učenicima, u vezi sa načinom na koji će funkcionisati škole u narednoj školskoj godini. 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Škole se nalaze u novim i nepoznatim okolnostima. Nije realno očekivati da sve mogu od prvog dana da budu jednako uspešne u primeni smernica koje su dobile. U tom periodu, škole, nastavnici i učenici treba da se posvete uspostavljanju dobre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komunikacije,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razumevanju smernica,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sagledavanju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uslova u kojima se nalaze i rizika koji postoje, kao i pronalaženju najboljih načina da se organizuje nastava i druge aktivnosti na nivou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 xml:space="preserve">njihove škole. </w:t>
      </w:r>
      <w:r>
        <w:rPr>
          <w:rFonts w:ascii="Times New Roman" w:hAnsi="Times New Roman" w:cs="Times New Roman"/>
          <w:sz w:val="24"/>
          <w:szCs w:val="24"/>
          <w:lang w:val="es-ES"/>
        </w:rPr>
        <w:t>Iskustvo u saradnji i pronalaženju najboljih načina za primenu smernica pruža priliku da svi akteri u školi, a posebno deca, nauče (ili da se podsete) važnih životih lekcija</w:t>
      </w:r>
      <w:r>
        <w:rPr>
          <w:rStyle w:val="10"/>
          <w:rFonts w:ascii="Times New Roman" w:hAnsi="Times New Roman" w:cs="Times New Roman"/>
          <w:sz w:val="24"/>
          <w:szCs w:val="24"/>
        </w:rPr>
        <w:footnoteReference w:id="4"/>
      </w:r>
      <w:r>
        <w:rPr>
          <w:rFonts w:ascii="Times New Roman" w:hAnsi="Times New Roman" w:cs="Times New Roman"/>
          <w:sz w:val="24"/>
          <w:szCs w:val="24"/>
          <w:lang w:val="es-ES"/>
        </w:rPr>
        <w:t>.</w:t>
      </w:r>
    </w:p>
    <w:p>
      <w:pPr>
        <w:ind w:left="72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Zato predlažemo da Ministarstvo donese </w:t>
      </w:r>
      <w:r>
        <w:rPr>
          <w:rFonts w:ascii="Times New Roman" w:hAnsi="Times New Roman" w:cs="Times New Roman"/>
          <w:color w:val="000000"/>
          <w:sz w:val="24"/>
          <w:szCs w:val="24"/>
          <w:lang w:val="es-ES"/>
        </w:rPr>
        <w:t>odgovarajući akt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 skladu s kojim će škole, roditelji i učenici imati pravo da prvi mesec nove školske godine posvete na prvom mestu prilagođavanju na nove uslove rada i primeni i zajedničkom redefinisanju smernica koje su dobijene od Ministarstva</w:t>
      </w:r>
      <w:r>
        <w:rPr>
          <w:rStyle w:val="10"/>
          <w:rFonts w:ascii="Times New Roman" w:hAnsi="Times New Roman" w:cs="Times New Roman"/>
          <w:sz w:val="24"/>
          <w:szCs w:val="24"/>
        </w:rPr>
        <w:footnoteReference w:id="5"/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. </w:t>
      </w:r>
    </w:p>
    <w:p>
      <w:pPr>
        <w:pStyle w:val="185"/>
        <w:jc w:val="both"/>
        <w:rPr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Pored nekih već preporučenih aktivnosti u smernicama Ministarstva, </w:t>
      </w:r>
      <w:r>
        <w:rPr>
          <w:rFonts w:ascii="Times New Roman" w:hAnsi="Times New Roman" w:cs="Times New Roman"/>
          <w:b/>
          <w:sz w:val="24"/>
          <w:szCs w:val="24"/>
        </w:rPr>
        <w:t xml:space="preserve">septembar mesec treba iskoristiti za širi konsultativni proces u koji će uključivati direktore škola, stručne saradnike, nastavnike, roditelje, učenike, predstavnike različitih ministarstava, zavoda i agencija, civilni sektor, stručnjke iz različitih oblasti, kako bi se postojeće smernice revidirale, napravile procene potreba i kapaciteta svake škole da na njih odgovori. </w:t>
      </w:r>
      <w:r>
        <w:rPr>
          <w:rFonts w:ascii="Times New Roman" w:hAnsi="Times New Roman" w:cs="Times New Roman"/>
          <w:sz w:val="24"/>
          <w:szCs w:val="24"/>
        </w:rPr>
        <w:t>Formiranje eksternih timova koji bi u skladu sa novoformiranim pravnim okvirom pomagali školama da adekvatno i pravovremeno odgovore na sve izazove.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Ovi, širi konsultativni procesi bi morali rezultirati formiranjem Nacionalnog tima koji će izraditi temeljan plan reforme obrazovnog sistema u Srbiji. 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</w:rPr>
      </w:pPr>
    </w:p>
    <w:p>
      <w:pPr>
        <w:jc w:val="both"/>
        <w:rPr>
          <w:rFonts w:ascii="Times New Roman" w:hAnsi="Times New Roman" w:cs="Times New Roman"/>
          <w:color w:val="1F497D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es-ES"/>
        </w:rPr>
        <w:t>Nastavni programi: definisanje ciljeva i odabir sadržaja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Nastavni programi treba da se redukuju na teme koje su najvažnije, što smernice Ministarstva ne predviđaju, niti pružaju podršku nastavnicima da iste sprovedu. </w:t>
      </w:r>
    </w:p>
    <w:p>
      <w:pPr>
        <w:pStyle w:val="185"/>
        <w:jc w:val="both"/>
        <w:rPr>
          <w:rFonts w:ascii="Times New Roman" w:hAnsi="Times New Roman" w:cs="Times New Roman"/>
          <w:b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sz w:val="24"/>
          <w:szCs w:val="24"/>
          <w:lang w:val="es-ES"/>
        </w:rPr>
        <w:t xml:space="preserve">Zbog toga je potrebno da Ministarstvo formira nekoliko mobilnih timova koji će pomagati nastavnicima kojima je pomoć potrebna u realizaciji tematskih i ostalih aktivnosti predviđenih smernicama. 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Iz tih razloga nastavne programe treba svesti na pažljivo izabrane teme koje imaju najveći obrazovni potencijal. Na taj način će se programi prilagoditi uslovima, a nastavnici i učenici će imati dovoljno prostora i vremena da se prilagođavaju okolnostima koje će (kako se očekuje) biti promenljive.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Imajući u vidu da </w:t>
      </w:r>
      <w:r>
        <w:rPr>
          <w:rFonts w:ascii="Times New Roman" w:hAnsi="Times New Roman" w:cs="Times New Roman"/>
          <w:bCs/>
          <w:i/>
          <w:sz w:val="24"/>
          <w:szCs w:val="24"/>
          <w:lang w:val="es-ES"/>
        </w:rPr>
        <w:t xml:space="preserve">život piše nastavne programe </w:t>
      </w:r>
      <w:r>
        <w:rPr>
          <w:rFonts w:ascii="Times New Roman" w:hAnsi="Times New Roman" w:cs="Times New Roman"/>
          <w:sz w:val="24"/>
          <w:szCs w:val="24"/>
          <w:lang w:val="es-ES"/>
        </w:rPr>
        <w:t>predlažemo da Ministarstvo i zavodi omoguće nastavnicima u svim razredima i u svim predmetima da se, u meri u kojoj je to moguće i smisleno, nastavne teme povežu sa temama koje nameće život, a u kontekstu majskih tragedija.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Školska takmičenja, dopunsku nastavu i sekcije bi mogla zameniti široka primena projektne nastave, a okosnica tema nenasilje, tolerancije, poverenje, saradnja i mentalno zdravlje. Na taj način obrazovni proces ne bi „zatajio“, a đaci bi stekli dodatna saznanja o važnim životnim temama iz različitih perspektiva.</w:t>
      </w:r>
    </w:p>
    <w:p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es-ES"/>
        </w:rPr>
        <w:t xml:space="preserve">Dodatna podrška za učenike, roditelje i nastavnike 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Procenjujemo da će </w:t>
      </w:r>
      <w:r>
        <w:rPr>
          <w:rFonts w:ascii="Times New Roman" w:hAnsi="Times New Roman" w:cs="Times New Roman"/>
          <w:sz w:val="24"/>
          <w:szCs w:val="24"/>
          <w:lang w:val="es-ES"/>
        </w:rPr>
        <w:t>značajan broj učenika i roditelja imati potrebu za dodatnom podrškom koja će prevazići sadašnje mogućnosti škola i nastavnika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>. Stoga predlažemo da studenti završnih godina</w:t>
      </w:r>
      <w:r>
        <w:rPr>
          <w:rFonts w:ascii="Times New Roman" w:hAnsi="Times New Roman" w:cs="Times New Roman"/>
          <w:bCs/>
          <w:sz w:val="24"/>
          <w:szCs w:val="24"/>
          <w:lang w:val="en-US"/>
        </w:rPr>
        <w:t xml:space="preserve"> pedagogije, psihologije, strukovnih škola za obrazovanje nastavnika kao i specijalizovane</w:t>
      </w:r>
      <w:r>
        <w:rPr>
          <w:rFonts w:ascii="Times New Roman" w:hAnsi="Times New Roman" w:cs="Times New Roman"/>
          <w:bCs/>
          <w:sz w:val="24"/>
          <w:szCs w:val="24"/>
          <w:lang w:val="es-ES"/>
        </w:rPr>
        <w:t xml:space="preserve"> organizacije civilnog društva budu angažovani u pružanju dodatne asistencije, pedagoške i druge podrške.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Stoga Vlada i ministarstva nadležna za prosvetu i socijalna pitanja treba da uspostave saradnju sa fakultetima (posebno onim koji školuju buduće nastavnike i stručnjake) i specijalizovanim udruženjima, kako bi se obezbedila podrška i asistencija.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highlight w:val="none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>U skladu s tim, u saradnji sa fakultetima, treba omogućiti da se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es-ES"/>
        </w:rPr>
        <w:t>studentima ovakav angažman prizna kao obavljanje stručne i pedagoške prakse.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es-ES"/>
        </w:rPr>
      </w:pP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es-ES"/>
        </w:rPr>
      </w:pP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es-ES"/>
        </w:rPr>
      </w:pPr>
    </w:p>
    <w:p>
      <w:pPr>
        <w:jc w:val="both"/>
        <w:rPr>
          <w:rFonts w:ascii="Times New Roman" w:hAnsi="Times New Roman" w:eastAsia="Times New Roman" w:cs="Times New Roman"/>
          <w:b/>
          <w:color w:val="1F497D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/>
          <w:color w:val="1F497D"/>
          <w:sz w:val="24"/>
          <w:szCs w:val="24"/>
          <w:lang w:val="es-ES"/>
        </w:rPr>
        <w:t xml:space="preserve">Položaj nastavnika i rad stručnih službi 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Ministarstvo i šira društvena zajednica imaju očekivanja da nastavnik ostvari svoju vaspitnu ulogu u smislu intelektualnog, etičkog, radnog, zdravstvenog, estetskog i/ili emocionalnog vaspitanja, podrazumevajući da nam je značajan cilj: osnažen, ohrabren, empatičan nastavnik, motivisan da pruža razumevanje, ljubav i znanje učenicima. Samo uz takvog nastavnika učenici mogu razvijati sve aspekte vlastite ličnosti, postati bolji ljudi i vredniji članovi društva.</w:t>
      </w:r>
    </w:p>
    <w:p>
      <w:pPr>
        <w:pStyle w:val="185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Da bismo dobili ovakvog nastavnika, neophodno je da se obezbedi  sistemska podrška i poverenje prosvetnih vlasti, poveća autonomija nastavnika i poboljša materijalni položaj prosvetnih radnika koji su danas potplaćeni, diskriminisani i zatrpani birokratskim poslovima.</w:t>
      </w:r>
    </w:p>
    <w:p>
      <w:pPr>
        <w:pStyle w:val="185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Posledice takvog odnosa prosvetnih i celokupne vlasti prema položaju nastavnika prepoznaju se u dalekosežnoj degradaciji ove profesije, dramatičnom srozavanju kvaliteta nastave i odsustvu interesovanja mladih za nastavnička zanimanja.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Kada je reč o stručnim službama, izostala je hitna korekcija aktuelnih pravilnika o kriterijumima i standardima za finansiranje ustanove koja obavlja delatnost osnovnog, odnosno srednjeg obrazovanja i vaspitanja, prema kojima, recimo, osnovne škole od  8 do 23 odeljenja imaju pravo na jednog izvršioca na poslovima stručnog saradnika (pedagoga ili psihologa, logopeda, socijalnog radnika, defektologa ili andragoga). To u praksi znači da je čak i 600 učenika (plus nastavnika i drugih zaposlenih, po potrebi), do donošenja i stupanja na snagu novog pravilnika i angažovanja novih lica, usmereno na jednog saradnika. Činjenica da su ove korekcije već dogovorene u decembru 2022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. godine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, pokazuju raskorak između deklarativne i suštinske podrške školama.</w:t>
      </w:r>
    </w:p>
    <w:p>
      <w:pPr>
        <w:pStyle w:val="185"/>
        <w:numPr>
          <w:ilvl w:val="0"/>
          <w:numId w:val="0"/>
        </w:numPr>
        <w:ind w:left="0" w:firstLine="0"/>
        <w:jc w:val="both"/>
        <w:rPr>
          <w:rFonts w:ascii="Times New Roman" w:hAnsi="Times New Roman" w:cs="Times New Roman"/>
          <w:b/>
          <w:bCs/>
          <w:color w:val="0070C0"/>
          <w:sz w:val="24"/>
          <w:szCs w:val="24"/>
          <w:lang w:val="es-ES"/>
        </w:rPr>
      </w:pPr>
    </w:p>
    <w:p>
      <w:pPr>
        <w:jc w:val="both"/>
        <w:rPr>
          <w:rFonts w:ascii="Times New Roman" w:hAnsi="Times New Roman" w:cs="Times New Roman"/>
          <w:b/>
          <w:color w:val="1F497D"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color w:val="1F497D"/>
          <w:sz w:val="24"/>
          <w:szCs w:val="24"/>
          <w:lang w:val="es-ES"/>
        </w:rPr>
        <w:t>Bezbednost u školama i školski policajci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Najavljeno prisustvo policajaca u svakoj školi nije rešenje za prevenciju i smanjenje nasilja, ali je donekle razumljivo u novonastalim okolnostima. </w:t>
      </w:r>
    </w:p>
    <w:p>
      <w:pPr>
        <w:pStyle w:val="185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Budući da uloga, prava i obaveze školskih policajaca nisu jasno definisane Zakonom, potrebno je uraditi novu sistematizaciju radnih mesta u MUP-u koja će prepoznati i jasno definisati ulogu školskog policajca.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Prema utvrđenoj metodologiji uraditi bezbednosnu procenu svake škole na teritoriji republike kako bi se znalo koje škole zahtevaju stalnog školskog policajca, a koje ne. Uspostaviti kontinuitet u praćenju bezbednosnih pretnji i rizika kao i sistem odgovora na njih.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Uspostaviti sistem obuke i licenciranja školskih policajaca (naročito u radu sa maloletnim licima), procedure u postupanju kako bi se definisala uloga, ovlašćenja i zadaci školskog policijaca.</w:t>
      </w:r>
    </w:p>
    <w:p>
      <w:pPr>
        <w:pStyle w:val="185"/>
        <w:numPr>
          <w:ilvl w:val="0"/>
          <w:numId w:val="0"/>
        </w:numPr>
        <w:ind w:left="720" w:firstLine="0"/>
        <w:jc w:val="both"/>
        <w:rPr>
          <w:rFonts w:ascii="Times New Roman" w:hAnsi="Times New Roman" w:cs="Times New Roman"/>
          <w:b/>
          <w:color w:val="0070C0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cs="Times New Roman"/>
          <w:sz w:val="24"/>
          <w:szCs w:val="24"/>
          <w:lang w:val="es-ES"/>
        </w:rPr>
        <w:t>Uspostaviti sistem komunikacije školskog policajca sa đacima, učiteljima, nastavnicima, profesorima, tehničkim i stručnim službama u školama i sa roditeljima na način da bude operativna, ali i da izgrađuje poverenje.</w:t>
      </w:r>
    </w:p>
    <w:p>
      <w:pPr>
        <w:pStyle w:val="185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</w:p>
    <w:p>
      <w:pPr>
        <w:jc w:val="both"/>
        <w:rPr>
          <w:rFonts w:ascii="Times New Roman" w:hAnsi="Times New Roman" w:eastAsia="Times New Roman" w:cs="Times New Roman"/>
          <w:b/>
          <w:color w:val="1F497D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/>
          <w:color w:val="1F497D"/>
          <w:sz w:val="24"/>
          <w:szCs w:val="24"/>
          <w:lang w:val="es-ES"/>
        </w:rPr>
        <w:t>Psihosocijalna podrška i pomo</w:t>
      </w:r>
      <w:r>
        <w:rPr>
          <w:rFonts w:ascii="Times New Roman" w:hAnsi="Times New Roman" w:eastAsia="Times New Roman" w:cs="Times New Roman"/>
          <w:b/>
          <w:color w:val="1F497D"/>
          <w:sz w:val="24"/>
          <w:szCs w:val="24"/>
          <w:lang w:val="en-US"/>
        </w:rPr>
        <w:t>ć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U okviru psihološke delatnosti postoji niz mogućih aktivnosti koje je u novonastalnim okolnostima potrebno preduzeti u cilju pružanja neposredne pomoći deci i porodicama, ali i u cilju prevencije i otklanjanja rizika od sličnih događaja, kao i građenja humanog, demokratskog društva koje promoviše bezbednost, toleranciju i solidarnost.</w:t>
      </w:r>
    </w:p>
    <w:p>
      <w:pPr>
        <w:pStyle w:val="185"/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Neposredne aktivnosti se odnose na različite nivoe pomoći i podrške primerene različitim stepenima potrebe za podrškom i različitim ciljnim grupama (deca, porodice, nastavnici...).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To uključuje: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Obezbeđivanje psiholoških intervencija u krizi za pomoć i prevenciju razvoja prolongiranih traumatskih reakcija i PTSP-a kroz sistemsku koordinisanu organizaciju i obuku volontera za online i terenski rad, ali i obezbeđivanje psihološke podrške i supervizije pomagačima, kao i prisustvo psihologa volontera u školama koji pomažu u organizovanju radionica ili vođenju individiualnih razgovora,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Kreiranje specijalizovanih programa tretmana za rad sa decom, mladima i odraslima koji su razvili  PTSD, edukacija stručnjaka i implementacija programa tretmana kroz centre za mentalno zdravlje, domove zdravlja i psihološka savetovališta,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Delovanje ka javnosti kroz pisane preporuke, video materijale, tribine i sl., u cilju zaštite i unapređenje mentalnog zdravlja građana,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Dugoročne sistemske aktivnosti u različitim delatnostima za koje već postoje inicijative struke, pripremljeni predlozi i prateća dokumenta koji čekaju realizaciju</w:t>
      </w:r>
      <w:r>
        <w:rPr>
          <w:rStyle w:val="10"/>
          <w:rFonts w:ascii="Times New Roman" w:hAnsi="Times New Roman" w:eastAsia="Times New Roman" w:cs="Times New Roman"/>
          <w:sz w:val="24"/>
          <w:szCs w:val="24"/>
          <w:lang w:val="es-ES"/>
        </w:rPr>
        <w:footnoteReference w:id="6"/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,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U sistemu socijalne zaštite - formiranje dnevnih boravaka za decu sa problemima u ponašanju sa ciljem pružanja zaštite i podrške jačanju lične odgovornosti maloletnika, na vaspitavanje i pravilan razvoj njegove ličnosti, kako bi se obezbedilo ponovno uključivanje maloletnika u društvenu zajednicu.Takođe, i kadrovsko jačanje i osposobljavanje profesionalaca zaposlenih u sistemu socijalne zaštite (psihologa, socijalnih radnika, pedagoga...)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 okviru zdravstvene zaštite - otvaranje centara za mentalno zdravlje u zajednici sa ciljem pružanja psihološke pomoći i savetodavno-terapijskih usluga, </w:t>
      </w:r>
    </w:p>
    <w:p>
      <w:pPr>
        <w:pStyle w:val="185"/>
        <w:numPr>
          <w:ilvl w:val="0"/>
          <w:numId w:val="2"/>
        </w:num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Jačanje multidisciplinarnih i intersektorskih timova na lokalnom nivou (zdravstvo, socijalna zaštita, policija i pravosuđe), koji ce promptno i efikasno reagovati na prijave nasilja, zanemarivanja i zlostavljanja.</w:t>
      </w:r>
    </w:p>
    <w:p>
      <w:pPr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  <w:t>Rad školskih odbora, Savet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n-US"/>
        </w:rPr>
        <w:t xml:space="preserve">a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  <w:t>roditelja i specijalizovani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n-US"/>
        </w:rPr>
        <w:t xml:space="preserve">h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  <w:t>školski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n-US"/>
        </w:rPr>
        <w:t xml:space="preserve">h 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  <w:t>timov</w:t>
      </w: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n-US"/>
        </w:rPr>
        <w:t>a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 okviru svojih zakonskih obaveza i odgovornosti školskih odbora, opštinskih i školskih saveta roditelja, školskih timovi za zaštitu od diskriminacije, nasilja, zlostavljanja i zanemarivanja nalaze se i delatnosti usmerene ka prevenciji i sanaciji posledica nastalih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usled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nasilja u školama.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-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U prethodnom periodu uočeno je da ova tela često nisu 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sazivala sednice niti su preuzimala prethodno navedenu ulogu kako bi bila još jedna karika u lancu podrške školi i roditeljima u borbi protiv nasilja.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    -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Praksa je pokazala da se saveti roditelja samo formalno osnivaju, bez suštinskog uticaja u školi, da su roditelji često neobavešteni o svrsi, ulozi i mogućnostima tela unutar škola, da nisu upoznati sa zakonskim rešenjima te ih stoga i ne koriste. Zbog takve situacije, saveti roditelja ne mogu da ispune svoje zadatke i preuzmu odgovornost.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Stoga je potrebno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: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- D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a se kroz unapređenje zakonskih rešenja i unutrašnjih akta škola pomenuta tela obavežu na delovanje u svim kriznim i vanrednim situacijama.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Važan preduslov za  njihov uspešan rad je podizanje svesti i kontinuirana edukacija roditelja, posebno onih koji se biraju u savete roditelja i druga školska tela i timove.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highlight w:val="none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 xml:space="preserve">   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Takođe, od velike je važnosti kontinuirana i osmišljena saradnja saveta roditelja, školskih timova za zaštitu od diskriminacije, nasilja, zlostavljanja i zanemarivanja i različitih timova i službi koje deluju na nivou lokalne zajednice – u okviru socijalnih i zdravstvenih institucija i/ili specijalizovanih OCD. </w:t>
      </w:r>
    </w:p>
    <w:p>
      <w:pPr>
        <w:jc w:val="both"/>
        <w:rPr>
          <w:rFonts w:ascii="Times New Roman" w:hAnsi="Times New Roman" w:eastAsia="Times New Roman" w:cs="Times New Roman"/>
          <w:b/>
          <w:bCs/>
          <w:color w:val="1F497D"/>
          <w:sz w:val="24"/>
          <w:szCs w:val="24"/>
          <w:lang w:val="es-ES"/>
        </w:rPr>
      </w:pPr>
    </w:p>
    <w:p>
      <w:pPr>
        <w:jc w:val="both"/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b/>
          <w:color w:val="002060"/>
          <w:sz w:val="24"/>
          <w:szCs w:val="24"/>
          <w:lang w:val="es-ES"/>
        </w:rPr>
        <w:t xml:space="preserve">Podrška porodicama sa decom </w:t>
      </w:r>
    </w:p>
    <w:p>
      <w:pPr>
        <w:jc w:val="both"/>
        <w:rPr>
          <w:rFonts w:ascii="Times New Roman" w:hAnsi="Times New Roman" w:eastAsia="Times New Roman" w:cs="Times New Roman"/>
          <w:sz w:val="24"/>
          <w:szCs w:val="24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Kako bi se preveniralo neželjeno ponašanje kod dece i mladih, porodicama je u novonastalim okolnostima potrebno pružiti dodatnu podršku. Ukoliko je ona dobro koncipirana, ciljana i kontinuirana, porodice će jačati, pružati sigurnost i biti zdrava mikrosredina za odrastanje i razvoj dece i mladih, što će značajno doprinositi klimi nenasilja, saradnje i poštovanja u školama.</w:t>
      </w:r>
    </w:p>
    <w:p>
      <w:pPr>
        <w:jc w:val="both"/>
        <w:rPr>
          <w:rFonts w:ascii="Times New Roman" w:hAnsi="Times New Roman" w:eastAsia="Times New Roman" w:cs="Times New Roman"/>
          <w:highlight w:val="none"/>
          <w:lang w:val="es-ES"/>
        </w:rPr>
      </w:pP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>Ova podrška trebalo bi da bude razvijena kroz posebne politike i mere koje sinhrono sprovode pored Ministarstva prosvet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e, Ministarstvo finansija,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 Ministar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stvo</w:t>
      </w:r>
      <w:r>
        <w:rPr>
          <w:rFonts w:ascii="Times New Roman" w:hAnsi="Times New Roman" w:eastAsia="Times New Roman" w:cs="Times New Roman"/>
          <w:sz w:val="24"/>
          <w:szCs w:val="24"/>
          <w:lang w:val="es-ES"/>
        </w:rPr>
        <w:t xml:space="preserve"> za brigu o porodici i demografiju, Ministarstvo za rad, boračka i socijalna pitanja i Ministarstvo za ljudska i manjinska prava i društveni dijalog (odnosno odgovarajući sektori  u okviru navedeni</w:t>
      </w:r>
      <w:r>
        <w:rPr>
          <w:rFonts w:ascii="Times New Roman" w:hAnsi="Times New Roman" w:eastAsia="Times New Roman" w:cs="Times New Roman"/>
          <w:sz w:val="24"/>
          <w:szCs w:val="24"/>
          <w:lang w:val="en-US"/>
        </w:rPr>
        <w:t>h ministarstava</w:t>
      </w:r>
      <w:r>
        <w:rPr>
          <w:rFonts w:ascii="Times New Roman" w:hAnsi="Times New Roman" w:eastAsia="Times New Roman" w:cs="Times New Roman"/>
          <w:lang w:val="es-ES"/>
        </w:rPr>
        <w:t xml:space="preserve">).  </w:t>
      </w:r>
    </w:p>
    <w:p>
      <w:pPr>
        <w:jc w:val="both"/>
        <w:rPr>
          <w:rFonts w:ascii="Times New Roman" w:hAnsi="Times New Roman" w:eastAsia="Times New Roman" w:cs="Times New Roman"/>
          <w:lang w:val="es-ES"/>
        </w:rPr>
      </w:pPr>
    </w:p>
    <w:p>
      <w:p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Dokument „Smernice i preporuke za rad škola“ biće dostavljen: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Vladi Republike Srbije;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Ministarstvu prosvete</w:t>
      </w:r>
      <w:r>
        <w:rPr>
          <w:rFonts w:ascii="Times New Roman" w:hAnsi="Times New Roman" w:eastAsia="Times New Roman" w:cs="Times New Roman"/>
          <w:i/>
          <w:lang w:val="en-US"/>
        </w:rPr>
        <w:t>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Ministarstvu za rad, boračka i socijalna pitanja;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lang w:val="en-US"/>
        </w:rPr>
        <w:t>Ministarstvu finansija;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Ministarstvu unutrašnjih poslova</w:t>
      </w:r>
      <w:r>
        <w:rPr>
          <w:rFonts w:ascii="Times New Roman" w:hAnsi="Times New Roman" w:eastAsia="Times New Roman" w:cs="Times New Roman"/>
          <w:i/>
          <w:lang w:val="en-US"/>
        </w:rPr>
        <w:t>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Ministarstvu zdravlja;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  <w:lang w:val="es-ES"/>
        </w:rPr>
        <w:t>Ministarstvu za brigu o porodici i demografiju</w:t>
      </w:r>
      <w:r>
        <w:rPr>
          <w:rFonts w:ascii="Times New Roman" w:hAnsi="Times New Roman" w:eastAsia="Times New Roman" w:cs="Times New Roman"/>
          <w:i/>
          <w:lang w:val="en-US"/>
        </w:rPr>
        <w:t>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Ministarstvu za ljudska i manjinska prava i društveni dijalog</w:t>
      </w:r>
      <w:r>
        <w:rPr>
          <w:rFonts w:ascii="Times New Roman" w:hAnsi="Times New Roman" w:eastAsia="Times New Roman" w:cs="Times New Roman"/>
          <w:i/>
          <w:lang w:val="en-US"/>
        </w:rPr>
        <w:t>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Školskim upravama;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sindikatima prosvetnik radnika;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rektoratima univerziteta;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</w:rPr>
      </w:pPr>
      <w:r>
        <w:rPr>
          <w:rFonts w:ascii="Times New Roman" w:hAnsi="Times New Roman" w:eastAsia="Times New Roman" w:cs="Times New Roman"/>
          <w:i/>
        </w:rPr>
        <w:t>Zavodu za socijalnu zaštitu;</w:t>
      </w:r>
    </w:p>
    <w:p>
      <w:pPr>
        <w:pStyle w:val="185"/>
        <w:numPr>
          <w:ilvl w:val="0"/>
          <w:numId w:val="3"/>
        </w:numPr>
        <w:jc w:val="both"/>
        <w:rPr>
          <w:rFonts w:ascii="Times New Roman" w:hAnsi="Times New Roman" w:eastAsia="Times New Roman" w:cs="Times New Roman"/>
          <w:i/>
          <w:lang w:val="es-ES"/>
        </w:rPr>
      </w:pPr>
      <w:r>
        <w:rPr>
          <w:rFonts w:ascii="Times New Roman" w:hAnsi="Times New Roman" w:eastAsia="Times New Roman" w:cs="Times New Roman"/>
          <w:i/>
          <w:lang w:val="es-ES"/>
        </w:rPr>
        <w:t>Zavodu za unapređivanje kvaliteta obrazovanja i vaspitanja.</w:t>
      </w:r>
    </w:p>
    <w:p>
      <w:pPr>
        <w:pStyle w:val="185"/>
        <w:jc w:val="both"/>
        <w:rPr>
          <w:rFonts w:ascii="Times New Roman" w:hAnsi="Times New Roman" w:cs="Times New Roman"/>
          <w:lang w:val="es-ES"/>
        </w:rPr>
      </w:pPr>
    </w:p>
    <w:p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Beogradu, 28. avgusta 2023.</w:t>
      </w:r>
    </w:p>
    <w:sectPr>
      <w:pgSz w:w="12240" w:h="15840"/>
      <w:pgMar w:top="1440" w:right="1440" w:bottom="144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14">
    <w:p>
      <w:pPr>
        <w:spacing w:before="0" w:after="0" w:line="276" w:lineRule="auto"/>
      </w:pPr>
      <w:r>
        <w:separator/>
      </w:r>
    </w:p>
  </w:footnote>
  <w:footnote w:type="continuationSeparator" w:id="15">
    <w:p>
      <w:pPr>
        <w:spacing w:before="0" w:after="0" w:line="276" w:lineRule="auto"/>
      </w:pPr>
      <w:r>
        <w:continuationSeparator/>
      </w:r>
    </w:p>
  </w:footnote>
  <w:footnote w:id="0">
    <w:p>
      <w:pPr>
        <w:pStyle w:val="11"/>
        <w:spacing w:before="240"/>
        <w:jc w:val="both"/>
        <w:rPr>
          <w:rFonts w:ascii="Calibri" w:hAnsi="Calibri"/>
          <w:highlight w:val="none"/>
        </w:rPr>
      </w:pPr>
      <w:r>
        <w:rPr>
          <w:rStyle w:val="10"/>
          <w:highlight w:val="none"/>
        </w:rPr>
        <w:footnoteRef/>
      </w:r>
      <w:r>
        <w:rPr>
          <w:highlight w:val="none"/>
          <w:lang w:val="es-ES"/>
        </w:rPr>
        <w:t xml:space="preserve"> </w:t>
      </w:r>
      <w:r>
        <w:rPr>
          <w:rFonts w:ascii="Calibri" w:hAnsi="Calibri"/>
          <w:highlight w:val="none"/>
          <w:lang w:val="es-ES"/>
        </w:rPr>
        <w:t>Da se uspostave jasni i operativni nivo komunikacije: 1. Roditelja sa odeljenjskim starešinama; 2. Odeljenjskih starešina sa direktorima škola; 3. Direktora škola sa predstavnicima školskih uprava i zavoda; 4. Školskih uprava i Ministarstv</w:t>
      </w:r>
      <w:r>
        <w:rPr>
          <w:rFonts w:ascii="Calibri" w:hAnsi="Calibri"/>
          <w:highlight w:val="none"/>
          <w:lang w:val="en-US"/>
        </w:rPr>
        <w:t>a</w:t>
      </w:r>
      <w:r>
        <w:rPr>
          <w:rFonts w:ascii="Calibri" w:hAnsi="Calibri"/>
          <w:highlight w:val="none"/>
          <w:lang w:val="es-ES"/>
        </w:rPr>
        <w:t xml:space="preserve"> prosvete; 5. </w:t>
      </w:r>
      <w:r>
        <w:rPr>
          <w:rFonts w:ascii="Calibri" w:hAnsi="Calibri"/>
          <w:highlight w:val="none"/>
          <w:lang w:val="en-US"/>
        </w:rPr>
        <w:t xml:space="preserve">MP i Radne grupe za podršku mentalnom zdravlju i sigurnosti mladih. </w:t>
      </w:r>
      <w:r>
        <w:rPr>
          <w:rFonts w:ascii="Calibri" w:hAnsi="Calibri"/>
          <w:highlight w:val="none"/>
        </w:rPr>
        <w:t xml:space="preserve">Uz pomoć standardizovanih upitnika za svaki nivo komunikacije, obezbedila bi se fluktuacija i sistematizacija podataka, kako bi se od markiranja pojedinačnih problema došlo do zajedničkih. Saveti roditelja i nastavnička veća bi imali ulogu posrednika. Lokalni krizni štabovi, saveti za bezbednost </w:t>
      </w:r>
      <w:r>
        <w:rPr>
          <w:rFonts w:ascii="Calibri" w:hAnsi="Calibri"/>
          <w:highlight w:val="none"/>
          <w:lang w:val="en-US"/>
        </w:rPr>
        <w:t xml:space="preserve">i </w:t>
      </w:r>
      <w:r>
        <w:rPr>
          <w:rFonts w:ascii="Calibri" w:hAnsi="Calibri"/>
          <w:highlight w:val="none"/>
        </w:rPr>
        <w:t xml:space="preserve">zdravlje (u opštinama gde postoje) mogu odigrati važnu ulogu. </w:t>
      </w:r>
    </w:p>
  </w:footnote>
  <w:footnote w:id="1">
    <w:p>
      <w:pPr>
        <w:pStyle w:val="13"/>
        <w:spacing w:before="240" w:beforeAutospacing="0"/>
        <w:jc w:val="both"/>
        <w:rPr>
          <w:rFonts w:ascii="Calibri" w:hAnsi="Calibri"/>
          <w:sz w:val="20"/>
          <w:szCs w:val="20"/>
        </w:rPr>
      </w:pPr>
      <w:r>
        <w:rPr>
          <w:rStyle w:val="10"/>
          <w:rFonts w:ascii="Calibri" w:hAnsi="Calibri"/>
          <w:sz w:val="20"/>
          <w:szCs w:val="20"/>
        </w:rPr>
        <w:footnoteRef/>
      </w:r>
      <w:r>
        <w:rPr>
          <w:rFonts w:ascii="Calibri" w:hAnsi="Calibri"/>
          <w:sz w:val="20"/>
          <w:szCs w:val="20"/>
        </w:rPr>
        <w:t xml:space="preserve"> MP</w:t>
      </w:r>
      <w:r>
        <w:rPr>
          <w:rFonts w:ascii="Calibri" w:hAnsi="Calibri"/>
          <w:sz w:val="20"/>
          <w:szCs w:val="20"/>
          <w:lang w:val="en-US"/>
        </w:rPr>
        <w:t xml:space="preserve"> </w:t>
      </w:r>
      <w:r>
        <w:rPr>
          <w:rFonts w:ascii="Calibri" w:hAnsi="Calibri"/>
          <w:sz w:val="20"/>
          <w:szCs w:val="20"/>
        </w:rPr>
        <w:t>može formirati posebne radne grupe/ stručne timove koji će raditi na pripremi novih zakonskih rešenja za sve nivoe obrazovanja, koji će uvažiti novonastale, ali i buduće očekivane probleme. Moraju se animirati i uključiti predstavnici svih organizacija, institucija, udruženja, dakle, svih zainteresovanih strana, kako bi čitav proces bio transparentan i otvoren. Ne sme sve zavisiti od promena u Vladi i ministarstvima već se mora održati kontinuitet.</w:t>
      </w:r>
    </w:p>
  </w:footnote>
  <w:footnote w:id="2">
    <w:p>
      <w:pPr>
        <w:pStyle w:val="11"/>
        <w:rPr>
          <w:rFonts w:ascii="Calibri" w:hAnsi="Calibri"/>
        </w:rPr>
      </w:pPr>
      <w:r>
        <w:rPr>
          <w:rStyle w:val="10"/>
          <w:rFonts w:ascii="Calibri" w:hAnsi="Calibri"/>
        </w:rPr>
        <w:footnoteRef/>
      </w:r>
      <w:r>
        <w:rPr>
          <w:rFonts w:ascii="Calibri" w:hAnsi="Calibri"/>
        </w:rPr>
        <w:t xml:space="preserve">  Ništa manje važna nije uloga inspekcijskih organa na lokalnom nivou, kako bi se pratio transfer novca za obaveze ustanova obrazovanja i vaspitanja. Angažovanje prosvetnih savetnika i spoljnih saradnika može doprineti da ceo proces bude celishodniji. </w:t>
      </w:r>
    </w:p>
    <w:p>
      <w:pPr>
        <w:pStyle w:val="11"/>
        <w:rPr>
          <w:rFonts w:ascii="Calibri" w:hAnsi="Calibri"/>
        </w:rPr>
      </w:pPr>
    </w:p>
  </w:footnote>
  <w:footnote w:id="3">
    <w:p>
      <w:pPr>
        <w:pStyle w:val="11"/>
        <w:rPr>
          <w:rFonts w:ascii="Calibri" w:hAnsi="Calibri"/>
        </w:rPr>
      </w:pPr>
      <w:r>
        <w:rPr>
          <w:rStyle w:val="10"/>
          <w:rFonts w:ascii="Calibri" w:hAnsi="Calibri"/>
        </w:rPr>
        <w:footnoteRef/>
      </w:r>
      <w:r>
        <w:rPr>
          <w:rFonts w:ascii="Calibri" w:hAnsi="Calibri"/>
        </w:rPr>
        <w:t xml:space="preserve">  Jedan od mogućih mehanizama je izrada digitalnih udžbenika gde god je to moguće i pružanje podrške nastavnicima da direktno proveravaju šta je urađeno. </w:t>
      </w:r>
    </w:p>
  </w:footnote>
  <w:footnote w:id="4">
    <w:p>
      <w:pPr>
        <w:pStyle w:val="11"/>
        <w:jc w:val="both"/>
      </w:pPr>
      <w:r>
        <w:rPr>
          <w:rStyle w:val="10"/>
        </w:rPr>
        <w:footnoteRef/>
      </w:r>
      <w:r>
        <w:t xml:space="preserve"> Ove aktivnosti bi se, takođe, morale urediti podzakonskim aktima. Uz adekvatnu metodologiju, ceo proces prilagođavanja se može dokumentovati, kako bi se na osnovu novostečenih iskustava definisali modeli rada škola u izmenjenim okolnostima.</w:t>
      </w:r>
    </w:p>
  </w:footnote>
  <w:footnote w:id="5">
    <w:p>
      <w:pPr>
        <w:pStyle w:val="11"/>
      </w:pPr>
      <w:r>
        <w:rPr>
          <w:rStyle w:val="10"/>
        </w:rPr>
        <w:footnoteRef/>
      </w:r>
      <w:r>
        <w:t xml:space="preserve">  Roditeljima ostaviti mogućnost da promene odluku o dolasku ili nedolasku dece u škole par nedelja nakon početka školske godine, jer niko od nas ne može znati kakva situacija će biti u oktobru. </w:t>
      </w:r>
    </w:p>
    <w:p>
      <w:pPr>
        <w:pStyle w:val="11"/>
      </w:pPr>
    </w:p>
  </w:footnote>
  <w:footnote w:id="6">
    <w:p>
      <w:pPr>
        <w:ind w:firstLine="720"/>
        <w:jc w:val="both"/>
        <w:rPr>
          <w:rFonts w:ascii="Calibri" w:hAnsi="Calibri" w:eastAsia="Times New Roman" w:cs="Times New Roman"/>
          <w:sz w:val="20"/>
          <w:szCs w:val="20"/>
        </w:rPr>
      </w:pPr>
      <w:r>
        <w:rPr>
          <w:rStyle w:val="10"/>
        </w:rPr>
        <w:footnoteRef/>
      </w:r>
      <w:r>
        <w:t xml:space="preserve"> </w:t>
      </w:r>
      <w:r>
        <w:rPr>
          <w:rFonts w:ascii="Calibri" w:hAnsi="Calibri" w:eastAsia="Times New Roman" w:cs="Times New Roman"/>
          <w:sz w:val="20"/>
          <w:szCs w:val="20"/>
        </w:rPr>
        <w:t>Neki od njih su:</w:t>
      </w:r>
    </w:p>
    <w:p>
      <w:pPr>
        <w:pStyle w:val="185"/>
        <w:numPr>
          <w:ilvl w:val="0"/>
          <w:numId w:val="1"/>
        </w:numPr>
        <w:jc w:val="both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>primena preporuka i uputstva za jačanje vaspitne uloge škole, koje su usmerene na aktivnosti u cilju podsticanja različitih interesovanja kroz slobodne aktivnosti, saradnje i solidarnosti među učenicima, inkluzije pojedinaca i pripadnika različitih marginalizovanih grupa, podsticanje kreativnog i kritičkog mišljenja, itd.</w:t>
      </w:r>
    </w:p>
    <w:p>
      <w:pPr>
        <w:pStyle w:val="185"/>
        <w:numPr>
          <w:ilvl w:val="0"/>
          <w:numId w:val="1"/>
        </w:numPr>
        <w:jc w:val="both"/>
        <w:rPr>
          <w:rFonts w:ascii="Calibri" w:hAnsi="Calibri" w:eastAsia="Times New Roman" w:cs="Times New Roman"/>
          <w:sz w:val="20"/>
          <w:szCs w:val="20"/>
        </w:rPr>
      </w:pPr>
      <w:r>
        <w:rPr>
          <w:rFonts w:ascii="Calibri" w:hAnsi="Calibri" w:eastAsia="Times New Roman" w:cs="Times New Roman"/>
          <w:sz w:val="20"/>
          <w:szCs w:val="20"/>
        </w:rPr>
        <w:t>Podrška osnivanju vršnjačkih i školskih timova za medijaciju i obezbeđivanje obuke za učenike</w:t>
      </w:r>
    </w:p>
    <w:p>
      <w:pPr>
        <w:pStyle w:val="11"/>
      </w:pP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0000006"/>
    <w:multiLevelType w:val="multilevel"/>
    <w:tmpl w:val="00000006"/>
    <w:lvl w:ilvl="0" w:tentative="0">
      <w:start w:val="5"/>
      <w:numFmt w:val="bullet"/>
      <w:lvlText w:val="-"/>
      <w:lvlJc w:val="left"/>
      <w:pPr>
        <w:ind w:left="1080" w:hanging="360"/>
      </w:pPr>
      <w:rPr>
        <w:rFonts w:hint="default" w:ascii="Calibri" w:hAnsi="Calibri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2">
    <w:nsid w:val="00000007"/>
    <w:multiLevelType w:val="multilevel"/>
    <w:tmpl w:val="00000007"/>
    <w:lvl w:ilvl="0" w:tentative="0">
      <w:start w:val="14"/>
      <w:numFmt w:val="bullet"/>
      <w:lvlText w:val="-"/>
      <w:lvlJc w:val="left"/>
      <w:pPr>
        <w:ind w:left="720" w:hanging="360"/>
      </w:pPr>
      <w:rPr>
        <w:rFonts w:hint="default" w:ascii="Times New Roman" w:hAnsi="Times New Roman" w:eastAsia="Times New Roman" w:cs="Times New Roman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characterSpacingControl w:val="doNotCompress"/>
  <w:footnotePr>
    <w:footnote w:id="14"/>
    <w:footnote w:id="15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65A53BA"/>
    <w:rsid w:val="33211EF5"/>
    <w:rsid w:val="74820F3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="SimSu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39" w:semiHidden="0" w:name="toc 1"/>
    <w:lsdException w:unhideWhenUsed="0" w:uiPriority="39" w:semiHidden="0" w:name="toc 2"/>
    <w:lsdException w:unhideWhenUsed="0" w:uiPriority="39" w:semiHidden="0" w:name="toc 3"/>
    <w:lsdException w:unhideWhenUsed="0" w:uiPriority="39" w:semiHidden="0" w:name="toc 4"/>
    <w:lsdException w:unhideWhenUsed="0" w:uiPriority="39" w:semiHidden="0" w:name="toc 5"/>
    <w:lsdException w:unhideWhenUsed="0" w:uiPriority="39" w:semiHidden="0" w:name="toc 6"/>
    <w:lsdException w:unhideWhenUsed="0" w:uiPriority="39" w:semiHidden="0" w:name="toc 7"/>
    <w:lsdException w:unhideWhenUsed="0" w:uiPriority="39" w:semiHidden="0" w:name="toc 8"/>
    <w:lsdException w:unhideWhenUsed="0" w:uiPriority="39" w:semiHidden="0" w:name="toc 9"/>
    <w:lsdException w:unhideWhenUsed="0" w:uiPriority="0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99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11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99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99" w:semiHidden="0" w:name="Balloon Text"/>
    <w:lsdException w:unhideWhenUsed="0" w:uiPriority="59" w:semiHidden="0" w:name="Table Grid"/>
    <w:lsdException w:unhideWhenUsed="0" w:uiPriority="0" w:semiHidden="0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before="0" w:beforeAutospacing="0" w:after="200" w:afterAutospacing="0" w:line="276" w:lineRule="auto"/>
    </w:pPr>
    <w:rPr>
      <w:rFonts w:hint="default"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189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5">
    <w:name w:val="annotation reference"/>
    <w:basedOn w:val="2"/>
    <w:uiPriority w:val="99"/>
    <w:rPr>
      <w:sz w:val="16"/>
      <w:szCs w:val="16"/>
    </w:rPr>
  </w:style>
  <w:style w:type="paragraph" w:styleId="6">
    <w:name w:val="annotation text"/>
    <w:basedOn w:val="1"/>
    <w:link w:val="187"/>
    <w:uiPriority w:val="99"/>
    <w:pPr>
      <w:spacing w:line="240" w:lineRule="auto"/>
    </w:pPr>
    <w:rPr>
      <w:sz w:val="20"/>
      <w:szCs w:val="20"/>
    </w:rPr>
  </w:style>
  <w:style w:type="paragraph" w:styleId="7">
    <w:name w:val="annotation subject"/>
    <w:basedOn w:val="6"/>
    <w:next w:val="6"/>
    <w:link w:val="188"/>
    <w:uiPriority w:val="99"/>
    <w:rPr>
      <w:b/>
      <w:bCs/>
    </w:rPr>
  </w:style>
  <w:style w:type="character" w:styleId="8">
    <w:name w:val="endnote reference"/>
    <w:basedOn w:val="2"/>
    <w:uiPriority w:val="99"/>
    <w:rPr>
      <w:vertAlign w:val="superscript"/>
    </w:rPr>
  </w:style>
  <w:style w:type="paragraph" w:styleId="9">
    <w:name w:val="endnote text"/>
    <w:basedOn w:val="1"/>
    <w:link w:val="183"/>
    <w:uiPriority w:val="99"/>
    <w:pPr>
      <w:spacing w:after="0" w:line="240" w:lineRule="auto"/>
    </w:pPr>
    <w:rPr>
      <w:sz w:val="20"/>
    </w:rPr>
  </w:style>
  <w:style w:type="character" w:styleId="10">
    <w:name w:val="footnote reference"/>
    <w:basedOn w:val="2"/>
    <w:uiPriority w:val="99"/>
    <w:rPr>
      <w:vertAlign w:val="superscript"/>
    </w:rPr>
  </w:style>
  <w:style w:type="paragraph" w:styleId="11">
    <w:name w:val="footnote text"/>
    <w:basedOn w:val="1"/>
    <w:link w:val="186"/>
    <w:uiPriority w:val="99"/>
    <w:pPr>
      <w:spacing w:after="0" w:line="240" w:lineRule="auto"/>
    </w:pPr>
    <w:rPr>
      <w:sz w:val="20"/>
      <w:szCs w:val="20"/>
    </w:rPr>
  </w:style>
  <w:style w:type="character" w:styleId="12">
    <w:name w:val="Hyperlink"/>
    <w:uiPriority w:val="99"/>
    <w:rPr>
      <w:color w:val="0000FF"/>
      <w:u w:val="single"/>
    </w:rPr>
  </w:style>
  <w:style w:type="paragraph" w:styleId="13">
    <w:name w:val="Normal (Web)"/>
    <w:basedOn w:val="1"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</w:rPr>
  </w:style>
  <w:style w:type="paragraph" w:styleId="14">
    <w:name w:val="Subtitle"/>
    <w:basedOn w:val="1"/>
    <w:next w:val="1"/>
    <w:link w:val="47"/>
    <w:qFormat/>
    <w:uiPriority w:val="11"/>
    <w:pPr>
      <w:spacing w:before="200" w:after="200"/>
    </w:pPr>
    <w:rPr>
      <w:sz w:val="24"/>
      <w:szCs w:val="24"/>
    </w:rPr>
  </w:style>
  <w:style w:type="table" w:styleId="15">
    <w:name w:val="Table Grid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16">
    <w:name w:val="table of figures"/>
    <w:basedOn w:val="1"/>
    <w:next w:val="1"/>
    <w:uiPriority w:val="99"/>
    <w:pPr>
      <w:spacing w:after="0" w:afterAutospacing="0"/>
    </w:pPr>
  </w:style>
  <w:style w:type="paragraph" w:styleId="17">
    <w:name w:val="Title"/>
    <w:basedOn w:val="1"/>
    <w:next w:val="1"/>
    <w:link w:val="46"/>
    <w:qFormat/>
    <w:uiPriority w:val="10"/>
    <w:pPr>
      <w:spacing w:before="300" w:after="200"/>
      <w:contextualSpacing/>
    </w:pPr>
    <w:rPr>
      <w:sz w:val="48"/>
      <w:szCs w:val="48"/>
    </w:rPr>
  </w:style>
  <w:style w:type="paragraph" w:styleId="18">
    <w:name w:val="toc 1"/>
    <w:basedOn w:val="1"/>
    <w:next w:val="1"/>
    <w:uiPriority w:val="39"/>
    <w:pPr>
      <w:spacing w:after="57"/>
      <w:ind w:left="0" w:right="0" w:firstLine="0"/>
    </w:pPr>
  </w:style>
  <w:style w:type="paragraph" w:styleId="19">
    <w:name w:val="toc 2"/>
    <w:basedOn w:val="1"/>
    <w:next w:val="1"/>
    <w:uiPriority w:val="39"/>
    <w:pPr>
      <w:spacing w:after="57"/>
      <w:ind w:left="283" w:right="0" w:firstLine="0"/>
    </w:pPr>
  </w:style>
  <w:style w:type="paragraph" w:styleId="20">
    <w:name w:val="toc 3"/>
    <w:basedOn w:val="1"/>
    <w:next w:val="1"/>
    <w:uiPriority w:val="39"/>
    <w:pPr>
      <w:spacing w:after="57"/>
      <w:ind w:left="567" w:right="0" w:firstLine="0"/>
    </w:pPr>
  </w:style>
  <w:style w:type="paragraph" w:styleId="21">
    <w:name w:val="toc 4"/>
    <w:basedOn w:val="1"/>
    <w:next w:val="1"/>
    <w:uiPriority w:val="39"/>
    <w:pPr>
      <w:spacing w:after="57"/>
      <w:ind w:left="850" w:right="0" w:firstLine="0"/>
    </w:pPr>
  </w:style>
  <w:style w:type="paragraph" w:styleId="22">
    <w:name w:val="toc 5"/>
    <w:basedOn w:val="1"/>
    <w:next w:val="1"/>
    <w:uiPriority w:val="39"/>
    <w:pPr>
      <w:spacing w:after="57"/>
      <w:ind w:left="1134" w:right="0" w:firstLine="0"/>
    </w:pPr>
  </w:style>
  <w:style w:type="paragraph" w:styleId="23">
    <w:name w:val="toc 6"/>
    <w:basedOn w:val="1"/>
    <w:next w:val="1"/>
    <w:uiPriority w:val="39"/>
    <w:pPr>
      <w:spacing w:after="57"/>
      <w:ind w:left="1417" w:right="0" w:firstLine="0"/>
    </w:pPr>
  </w:style>
  <w:style w:type="paragraph" w:styleId="24">
    <w:name w:val="toc 7"/>
    <w:basedOn w:val="1"/>
    <w:next w:val="1"/>
    <w:uiPriority w:val="39"/>
    <w:pPr>
      <w:spacing w:after="57"/>
      <w:ind w:left="1701" w:right="0" w:firstLine="0"/>
    </w:pPr>
  </w:style>
  <w:style w:type="paragraph" w:styleId="25">
    <w:name w:val="toc 8"/>
    <w:basedOn w:val="1"/>
    <w:next w:val="1"/>
    <w:uiPriority w:val="39"/>
    <w:pPr>
      <w:spacing w:after="57"/>
      <w:ind w:left="1984" w:right="0" w:firstLine="0"/>
    </w:pPr>
  </w:style>
  <w:style w:type="paragraph" w:styleId="26">
    <w:name w:val="toc 9"/>
    <w:basedOn w:val="1"/>
    <w:next w:val="1"/>
    <w:uiPriority w:val="39"/>
    <w:pPr>
      <w:spacing w:after="57"/>
      <w:ind w:left="2268" w:right="0" w:firstLine="0"/>
    </w:pPr>
  </w:style>
  <w:style w:type="paragraph" w:customStyle="1" w:styleId="27">
    <w:name w:val="Heading 11"/>
    <w:basedOn w:val="1"/>
    <w:next w:val="1"/>
    <w:link w:val="28"/>
    <w:qFormat/>
    <w:uiPriority w:val="9"/>
    <w:pPr>
      <w:keepNext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customStyle="1" w:styleId="28">
    <w:name w:val="Heading 1 Char"/>
    <w:basedOn w:val="2"/>
    <w:link w:val="27"/>
    <w:uiPriority w:val="9"/>
    <w:rPr>
      <w:rFonts w:ascii="Arial" w:hAnsi="Arial" w:eastAsia="Arial" w:cs="Arial"/>
      <w:sz w:val="40"/>
      <w:szCs w:val="40"/>
    </w:rPr>
  </w:style>
  <w:style w:type="paragraph" w:customStyle="1" w:styleId="29">
    <w:name w:val="Heading 21"/>
    <w:basedOn w:val="1"/>
    <w:next w:val="1"/>
    <w:link w:val="30"/>
    <w:qFormat/>
    <w:uiPriority w:val="9"/>
    <w:pPr>
      <w:keepNext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character" w:customStyle="1" w:styleId="30">
    <w:name w:val="Heading 2 Char"/>
    <w:basedOn w:val="2"/>
    <w:link w:val="29"/>
    <w:uiPriority w:val="9"/>
    <w:rPr>
      <w:rFonts w:ascii="Arial" w:hAnsi="Arial" w:eastAsia="Arial" w:cs="Arial"/>
      <w:sz w:val="34"/>
    </w:rPr>
  </w:style>
  <w:style w:type="paragraph" w:customStyle="1" w:styleId="31">
    <w:name w:val="Heading 31"/>
    <w:basedOn w:val="1"/>
    <w:next w:val="1"/>
    <w:link w:val="32"/>
    <w:qFormat/>
    <w:uiPriority w:val="9"/>
    <w:pPr>
      <w:keepNext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customStyle="1" w:styleId="32">
    <w:name w:val="Heading 3 Char"/>
    <w:basedOn w:val="2"/>
    <w:link w:val="31"/>
    <w:uiPriority w:val="9"/>
    <w:rPr>
      <w:rFonts w:ascii="Arial" w:hAnsi="Arial" w:eastAsia="Arial" w:cs="Arial"/>
      <w:sz w:val="30"/>
      <w:szCs w:val="30"/>
    </w:rPr>
  </w:style>
  <w:style w:type="paragraph" w:customStyle="1" w:styleId="33">
    <w:name w:val="Heading 41"/>
    <w:basedOn w:val="1"/>
    <w:next w:val="1"/>
    <w:link w:val="34"/>
    <w:qFormat/>
    <w:uiPriority w:val="9"/>
    <w:pPr>
      <w:keepNext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customStyle="1" w:styleId="34">
    <w:name w:val="Heading 4 Char"/>
    <w:basedOn w:val="2"/>
    <w:link w:val="33"/>
    <w:uiPriority w:val="9"/>
    <w:rPr>
      <w:rFonts w:ascii="Arial" w:hAnsi="Arial" w:eastAsia="Arial" w:cs="Arial"/>
      <w:b/>
      <w:bCs/>
      <w:sz w:val="26"/>
      <w:szCs w:val="26"/>
    </w:rPr>
  </w:style>
  <w:style w:type="paragraph" w:customStyle="1" w:styleId="35">
    <w:name w:val="Heading 51"/>
    <w:basedOn w:val="1"/>
    <w:next w:val="1"/>
    <w:link w:val="36"/>
    <w:qFormat/>
    <w:uiPriority w:val="9"/>
    <w:pPr>
      <w:keepNext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customStyle="1" w:styleId="36">
    <w:name w:val="Heading 5 Char"/>
    <w:basedOn w:val="2"/>
    <w:link w:val="35"/>
    <w:uiPriority w:val="9"/>
    <w:rPr>
      <w:rFonts w:ascii="Arial" w:hAnsi="Arial" w:eastAsia="Arial" w:cs="Arial"/>
      <w:b/>
      <w:bCs/>
      <w:sz w:val="24"/>
      <w:szCs w:val="24"/>
    </w:rPr>
  </w:style>
  <w:style w:type="paragraph" w:customStyle="1" w:styleId="37">
    <w:name w:val="Heading 61"/>
    <w:basedOn w:val="1"/>
    <w:next w:val="1"/>
    <w:link w:val="38"/>
    <w:qFormat/>
    <w:uiPriority w:val="9"/>
    <w:pPr>
      <w:keepNext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customStyle="1" w:styleId="38">
    <w:name w:val="Heading 6 Char"/>
    <w:basedOn w:val="2"/>
    <w:link w:val="37"/>
    <w:uiPriority w:val="9"/>
    <w:rPr>
      <w:rFonts w:ascii="Arial" w:hAnsi="Arial" w:eastAsia="Arial" w:cs="Arial"/>
      <w:b/>
      <w:bCs/>
      <w:sz w:val="22"/>
      <w:szCs w:val="22"/>
    </w:rPr>
  </w:style>
  <w:style w:type="paragraph" w:customStyle="1" w:styleId="39">
    <w:name w:val="Heading 71"/>
    <w:basedOn w:val="1"/>
    <w:next w:val="1"/>
    <w:link w:val="40"/>
    <w:qFormat/>
    <w:uiPriority w:val="9"/>
    <w:pPr>
      <w:keepNext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customStyle="1" w:styleId="40">
    <w:name w:val="Heading 7 Char"/>
    <w:basedOn w:val="2"/>
    <w:link w:val="39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customStyle="1" w:styleId="41">
    <w:name w:val="Heading 81"/>
    <w:basedOn w:val="1"/>
    <w:next w:val="1"/>
    <w:link w:val="42"/>
    <w:qFormat/>
    <w:uiPriority w:val="9"/>
    <w:pPr>
      <w:keepNext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customStyle="1" w:styleId="42">
    <w:name w:val="Heading 8 Char"/>
    <w:basedOn w:val="2"/>
    <w:link w:val="41"/>
    <w:uiPriority w:val="9"/>
    <w:rPr>
      <w:rFonts w:ascii="Arial" w:hAnsi="Arial" w:eastAsia="Arial" w:cs="Arial"/>
      <w:i/>
      <w:iCs/>
      <w:sz w:val="22"/>
      <w:szCs w:val="22"/>
    </w:rPr>
  </w:style>
  <w:style w:type="paragraph" w:customStyle="1" w:styleId="43">
    <w:name w:val="Heading 91"/>
    <w:basedOn w:val="1"/>
    <w:next w:val="1"/>
    <w:link w:val="44"/>
    <w:qFormat/>
    <w:uiPriority w:val="9"/>
    <w:pPr>
      <w:keepNext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customStyle="1" w:styleId="44">
    <w:name w:val="Heading 9 Char"/>
    <w:basedOn w:val="2"/>
    <w:link w:val="43"/>
    <w:uiPriority w:val="9"/>
    <w:rPr>
      <w:rFonts w:ascii="Arial" w:hAnsi="Arial" w:eastAsia="Arial" w:cs="Arial"/>
      <w:i/>
      <w:iCs/>
      <w:sz w:val="21"/>
      <w:szCs w:val="21"/>
    </w:rPr>
  </w:style>
  <w:style w:type="paragraph" w:styleId="45">
    <w:name w:val="No Spacing"/>
    <w:qFormat/>
    <w:uiPriority w:val="1"/>
    <w:pPr>
      <w:spacing w:before="0" w:beforeAutospacing="0" w:after="0" w:afterAutospacing="0" w:line="240" w:lineRule="auto"/>
    </w:pPr>
    <w:rPr>
      <w:rFonts w:hint="default" w:ascii="Calibri" w:hAnsi="Calibri" w:eastAsia="Calibri" w:cs="SimSun"/>
      <w:sz w:val="22"/>
      <w:szCs w:val="22"/>
      <w:lang w:val="en-US" w:eastAsia="en-US" w:bidi="ar-SA"/>
    </w:rPr>
  </w:style>
  <w:style w:type="character" w:customStyle="1" w:styleId="46">
    <w:name w:val="Title Char"/>
    <w:basedOn w:val="2"/>
    <w:link w:val="17"/>
    <w:uiPriority w:val="10"/>
    <w:rPr>
      <w:sz w:val="48"/>
      <w:szCs w:val="48"/>
    </w:rPr>
  </w:style>
  <w:style w:type="character" w:customStyle="1" w:styleId="47">
    <w:name w:val="Subtitle Char"/>
    <w:basedOn w:val="2"/>
    <w:link w:val="14"/>
    <w:uiPriority w:val="11"/>
    <w:rPr>
      <w:sz w:val="24"/>
      <w:szCs w:val="24"/>
    </w:rPr>
  </w:style>
  <w:style w:type="paragraph" w:styleId="48">
    <w:name w:val="Quote"/>
    <w:basedOn w:val="1"/>
    <w:next w:val="1"/>
    <w:link w:val="49"/>
    <w:qFormat/>
    <w:uiPriority w:val="29"/>
    <w:pPr>
      <w:ind w:left="720" w:right="720"/>
    </w:pPr>
    <w:rPr>
      <w:i/>
    </w:rPr>
  </w:style>
  <w:style w:type="character" w:customStyle="1" w:styleId="49">
    <w:name w:val="Quote Char"/>
    <w:link w:val="48"/>
    <w:uiPriority w:val="29"/>
    <w:rPr>
      <w:i/>
    </w:rPr>
  </w:style>
  <w:style w:type="paragraph" w:styleId="50">
    <w:name w:val="Intense Quote"/>
    <w:basedOn w:val="1"/>
    <w:next w:val="1"/>
    <w:link w:val="51"/>
    <w:qFormat/>
    <w:uiPriority w:val="30"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left="720" w:right="720"/>
      <w:contextualSpacing w:val="0"/>
    </w:pPr>
    <w:rPr>
      <w:i/>
    </w:rPr>
  </w:style>
  <w:style w:type="character" w:customStyle="1" w:styleId="51">
    <w:name w:val="Intense Quote Char"/>
    <w:link w:val="50"/>
    <w:uiPriority w:val="30"/>
    <w:rPr>
      <w:i/>
    </w:rPr>
  </w:style>
  <w:style w:type="paragraph" w:customStyle="1" w:styleId="52">
    <w:name w:val="Header1"/>
    <w:basedOn w:val="1"/>
    <w:link w:val="53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3">
    <w:name w:val="Header Char"/>
    <w:basedOn w:val="2"/>
    <w:link w:val="52"/>
    <w:uiPriority w:val="99"/>
  </w:style>
  <w:style w:type="paragraph" w:customStyle="1" w:styleId="54">
    <w:name w:val="Footer1"/>
    <w:basedOn w:val="1"/>
    <w:link w:val="57"/>
    <w:uiPriority w:val="99"/>
    <w:pPr>
      <w:tabs>
        <w:tab w:val="center" w:pos="7143"/>
        <w:tab w:val="right" w:pos="14287"/>
      </w:tabs>
      <w:spacing w:after="0" w:line="240" w:lineRule="auto"/>
    </w:pPr>
  </w:style>
  <w:style w:type="character" w:customStyle="1" w:styleId="55">
    <w:name w:val="Footer Char"/>
    <w:basedOn w:val="2"/>
    <w:link w:val="54"/>
    <w:uiPriority w:val="99"/>
  </w:style>
  <w:style w:type="paragraph" w:customStyle="1" w:styleId="56">
    <w:name w:val="Caption1"/>
    <w:basedOn w:val="1"/>
    <w:next w:val="1"/>
    <w:qFormat/>
    <w:uiPriority w:val="35"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57">
    <w:name w:val="Caption Char"/>
    <w:link w:val="54"/>
    <w:uiPriority w:val="99"/>
  </w:style>
  <w:style w:type="table" w:customStyle="1" w:styleId="58">
    <w:name w:val="Table Grid Light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9">
    <w:name w:val="Plain Table 1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shd w:val="clear" w:color="FFFFFF" w:fill="F2F2F2"/>
      </w:tcPr>
    </w:tblStylePr>
    <w:tblStylePr w:type="band1Horz">
      <w:tcPr>
        <w:shd w:val="clear" w:color="FFFFFF" w:fill="F2F2F2"/>
      </w:tcPr>
    </w:tblStylePr>
  </w:style>
  <w:style w:type="table" w:customStyle="1" w:styleId="60">
    <w:name w:val="Plain Table 2"/>
    <w:basedOn w:val="3"/>
    <w:uiPriority w:val="59"/>
    <w:pPr>
      <w:spacing w:after="0" w:line="240" w:lineRule="auto"/>
    </w:pPr>
    <w:tblPr>
      <w:tblBorders>
        <w:top w:val="single" w:color="000000" w:sz="4" w:space="0"/>
        <w:left w:val="none" w:color="000000" w:sz="4" w:space="0"/>
        <w:bottom w:val="single" w:color="000000" w:sz="4" w:space="0"/>
        <w:right w:val="non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61">
    <w:name w:val="Plain Table 3"/>
    <w:basedOn w:val="3"/>
    <w:uiPriority w:val="99"/>
    <w:pPr>
      <w:spacing w:after="0" w:line="240" w:lineRule="auto"/>
    </w:pPr>
    <w:tblPr/>
    <w:tblStylePr w:type="firstRow">
      <w:rPr>
        <w:b/>
        <w:caps/>
        <w:color w:val="404040"/>
      </w:rPr>
      <w:tcPr>
        <w:tcBorders>
          <w:top w:val="nil"/>
          <w:left w:val="nil"/>
          <w:bottom w:val="single" w:color="404040" w:sz="4" w:space="0"/>
          <w:right w:val="nil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cPr>
        <w:tcBorders>
          <w:top w:val="nil"/>
          <w:left w:val="nil"/>
          <w:bottom w:val="nil"/>
          <w:right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2">
    <w:name w:val="Plain Table 4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3">
    <w:name w:val="Plain Table 5"/>
    <w:basedOn w:val="3"/>
    <w:uiPriority w:val="99"/>
    <w:pPr>
      <w:spacing w:after="0" w:line="240" w:lineRule="auto"/>
    </w:pPr>
    <w:tblPr/>
    <w:tblStylePr w:type="firstRow">
      <w:rPr>
        <w:i/>
        <w:color w:val="404040"/>
      </w:rPr>
      <w:tcPr>
        <w:tcBorders>
          <w:left w:val="nil"/>
          <w:bottom w:val="single" w:color="404040" w:sz="4" w:space="0"/>
          <w:right w:val="nil"/>
        </w:tcBorders>
        <w:shd w:val="clear" w:color="FFFFFF" w:fill="auto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right w:val="single" w:color="404040" w:sz="4" w:space="0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64">
    <w:name w:val="Grid Table 1 Light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5">
    <w:name w:val="Grid Table 1 Light - Accent 1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6">
    <w:name w:val="Grid Table 1 Light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7">
    <w:name w:val="Grid Table 1 Light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8">
    <w:name w:val="Grid Table 1 Light 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69">
    <w:name w:val="Grid Table 1 Light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70">
    <w:name w:val="Grid Table 1 Light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71">
    <w:name w:val="Grid Table 2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2">
    <w:name w:val="Grid Table 2 - Accent 1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73">
    <w:name w:val="Grid Table 2 - Accent 2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74">
    <w:name w:val="Grid Table 2 - Accent 3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75">
    <w:name w:val="Grid Table 2 - Accent 4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76">
    <w:name w:val="Grid Table 2 - Accent 5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77">
    <w:name w:val="Grid Table 2 - Accent 6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single" w:color="000000" w:sz="12" w:space="0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78">
    <w:name w:val="Grid Table 3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79">
    <w:name w:val="Grid Table 3 - Accent 1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</w:style>
  <w:style w:type="table" w:customStyle="1" w:styleId="80">
    <w:name w:val="Grid Table 3 - Accent 2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1">
    <w:name w:val="Grid Table 3 - Accent 3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2">
    <w:name w:val="Grid Table 3 - Accent 4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83">
    <w:name w:val="Grid Table 3 - Accent 5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84">
    <w:name w:val="Grid Table 3 - Accent 6"/>
    <w:basedOn w:val="3"/>
    <w:uiPriority w:val="99"/>
    <w:pPr>
      <w:spacing w:after="0" w:line="240" w:lineRule="auto"/>
    </w:pPr>
    <w:tblPr>
      <w:tblBorders>
        <w:bottom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Row">
      <w:rPr>
        <w:b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lastCol">
      <w:rPr>
        <w:i/>
        <w:color w:val="404040"/>
      </w:rPr>
      <w:tcPr>
        <w:tcBorders>
          <w:top w:val="nil"/>
          <w:left w:val="nil"/>
          <w:bottom w:val="nil"/>
          <w:right w:val="nil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85">
    <w:name w:val="Grid Table 4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000000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</w:style>
  <w:style w:type="table" w:customStyle="1" w:styleId="86">
    <w:name w:val="Grid Table 4 - Accent 1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5D8DC2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CE6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CE6F1"/>
      </w:tcPr>
    </w:tblStylePr>
  </w:style>
  <w:style w:type="table" w:customStyle="1" w:styleId="87">
    <w:name w:val="Grid Table 4 - Accent 2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D99694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88">
    <w:name w:val="Grid Table 4 - Accent 3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9BBA59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89">
    <w:name w:val="Grid Table 4 - Accent 4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B2A1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90">
    <w:name w:val="Grid Table 4 - Accent 5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4BACC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91">
    <w:name w:val="Grid Table 4 - Accent 6"/>
    <w:basedOn w:val="3"/>
    <w:uiPriority w:val="5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  <w:shd w:val="clear" w:color="FFFFFF" w:fill="F79646"/>
      </w:tcPr>
    </w:tblStylePr>
    <w:tblStylePr w:type="lastRow">
      <w:rPr>
        <w:b/>
        <w:color w:val="404040"/>
      </w:rPr>
      <w:tcPr>
        <w:tcBorders>
          <w:top w:val="single" w:color="000000" w:sz="4" w:space="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92">
    <w:name w:val="Grid Table 5 Dark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000000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band1Vert">
      <w:tcPr>
        <w:shd w:val="clear" w:color="FFFFFF" w:fill="8A8A8A"/>
      </w:tcPr>
    </w:tblStylePr>
    <w:tblStylePr w:type="band1Horz">
      <w:tcPr>
        <w:shd w:val="clear" w:color="FFFFFF" w:fill="8A8A8A"/>
      </w:tcPr>
    </w:tblStylePr>
  </w:style>
  <w:style w:type="table" w:customStyle="1" w:styleId="93">
    <w:name w:val="Grid Table 5 Dark- Accent 1"/>
    <w:basedOn w:val="3"/>
    <w:qFormat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F81B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band1Vert">
      <w:tcPr>
        <w:shd w:val="clear" w:color="FFFFFF" w:fill="ADC5E0"/>
      </w:tcPr>
    </w:tblStylePr>
    <w:tblStylePr w:type="band1Horz">
      <w:tcPr>
        <w:shd w:val="clear" w:color="FFFFFF" w:fill="ADC5E0"/>
      </w:tcPr>
    </w:tblStylePr>
  </w:style>
  <w:style w:type="table" w:customStyle="1" w:styleId="94">
    <w:name w:val="Grid Table 5 Dark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C0504D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band1Vert">
      <w:tcPr>
        <w:shd w:val="clear" w:color="FFFFFF" w:fill="E1ADAC"/>
      </w:tcPr>
    </w:tblStylePr>
    <w:tblStylePr w:type="band1Horz">
      <w:tcPr>
        <w:shd w:val="clear" w:color="FFFFFF" w:fill="E1ADAC"/>
      </w:tcPr>
    </w:tblStylePr>
  </w:style>
  <w:style w:type="table" w:customStyle="1" w:styleId="95">
    <w:name w:val="Grid Table 5 Dark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9BBB59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band1Vert">
      <w:tcPr>
        <w:shd w:val="clear" w:color="FFFFFF" w:fill="D1DFB2"/>
      </w:tcPr>
    </w:tblStylePr>
    <w:tblStylePr w:type="band1Horz">
      <w:tcPr>
        <w:shd w:val="clear" w:color="FFFFFF" w:fill="D1DFB2"/>
      </w:tcPr>
    </w:tblStylePr>
  </w:style>
  <w:style w:type="table" w:customStyle="1" w:styleId="96">
    <w:name w:val="Grid Table 5 Dark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8064A2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band1Vert">
      <w:tcPr>
        <w:shd w:val="clear" w:color="FFFFFF" w:fill="C4B7D4"/>
      </w:tcPr>
    </w:tblStylePr>
    <w:tblStylePr w:type="band1Horz">
      <w:tcPr>
        <w:shd w:val="clear" w:color="FFFFFF" w:fill="C4B7D4"/>
      </w:tcPr>
    </w:tblStylePr>
  </w:style>
  <w:style w:type="table" w:customStyle="1" w:styleId="97">
    <w:name w:val="Grid Table 5 Dark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4BACC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band1Vert">
      <w:tcPr>
        <w:shd w:val="clear" w:color="FFFFFF" w:fill="ABD9E4"/>
      </w:tcPr>
    </w:tblStylePr>
    <w:tblStylePr w:type="band1Horz">
      <w:tcPr>
        <w:shd w:val="clear" w:color="FFFFFF" w:fill="ABD9E4"/>
      </w:tcPr>
    </w:tblStylePr>
  </w:style>
  <w:style w:type="table" w:customStyle="1" w:styleId="98">
    <w:name w:val="Grid Table 5 Dark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sz="4" w:space="0"/>
        </w:tcBorders>
        <w:shd w:val="clear" w:color="FFFFFF" w:fill="F79646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band1Vert">
      <w:tcPr>
        <w:shd w:val="clear" w:color="FFFFFF" w:fill="FBCDA8"/>
      </w:tcPr>
    </w:tblStylePr>
    <w:tblStylePr w:type="band1Horz">
      <w:tcPr>
        <w:shd w:val="clear" w:color="FFFFFF" w:fill="FBCDA8"/>
      </w:tcPr>
    </w:tblStylePr>
  </w:style>
  <w:style w:type="table" w:customStyle="1" w:styleId="99">
    <w:name w:val="Grid Table 6 Colorful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4A4A4A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4A4A4A"/>
      </w:rPr>
    </w:tblStylePr>
    <w:tblStylePr w:type="firstCol">
      <w:rPr>
        <w:b/>
        <w:color w:val="4A4A4A"/>
      </w:rPr>
    </w:tblStylePr>
    <w:tblStylePr w:type="lastCol">
      <w:rPr>
        <w:b/>
        <w:color w:val="4A4A4A"/>
      </w:rPr>
    </w:tblStylePr>
    <w:tblStylePr w:type="band1Vert">
      <w:tcPr>
        <w:shd w:val="clear" w:color="FFFFFF" w:fill="CBCBC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CBCBC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0">
    <w:name w:val="Grid Table 6 Colorful - Accent 1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3E70A3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3E70A3"/>
      </w:rPr>
    </w:tblStylePr>
    <w:tblStylePr w:type="firstCol">
      <w:rPr>
        <w:b/>
        <w:color w:val="3E70A3"/>
      </w:rPr>
    </w:tblStylePr>
    <w:tblStylePr w:type="lastCol">
      <w:rPr>
        <w:b/>
        <w:color w:val="3E70A3"/>
      </w:r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1">
    <w:name w:val="Grid Table 6 Colorful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9C3A37"/>
      </w:r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2">
    <w:name w:val="Grid Table 6 Colorful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5C702F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5C702F"/>
      </w:rPr>
    </w:tblStylePr>
    <w:tblStylePr w:type="firstCol">
      <w:rPr>
        <w:b/>
        <w:color w:val="5C702F"/>
      </w:rPr>
    </w:tblStylePr>
    <w:tblStylePr w:type="lastCol">
      <w:rPr>
        <w:b/>
        <w:color w:val="5C702F"/>
      </w:r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3">
    <w:name w:val="Grid Table 6 Colorful 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664F82"/>
      </w:r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4">
    <w:name w:val="Grid Table 6 Colorful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5">
    <w:name w:val="Grid Table 6 Colorful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b/>
        <w:color w:val="266777"/>
      </w:rPr>
      <w:tcPr>
        <w:tcBorders>
          <w:bottom w:val="single" w:color="000000" w:sz="12" w:space="0"/>
        </w:tcBorders>
      </w:tcPr>
    </w:tblStylePr>
    <w:tblStylePr w:type="lastRow">
      <w:rPr>
        <w:b/>
        <w:color w:val="266777"/>
      </w:rPr>
    </w:tblStylePr>
    <w:tblStylePr w:type="firstCol">
      <w:rPr>
        <w:b/>
        <w:color w:val="266777"/>
      </w:rPr>
    </w:tblStylePr>
    <w:tblStylePr w:type="lastCol">
      <w:rPr>
        <w:b/>
        <w:color w:val="266777"/>
      </w:r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06">
    <w:name w:val="Grid Table 7 Colorful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F2F2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F2F2F2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07">
    <w:name w:val="Grid Table 7 Colorful - Accent 1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3E70A3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3E70A3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E70A3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E70A3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5F1"/>
      </w:tcPr>
    </w:tblStylePr>
    <w:tblStylePr w:type="band1Horz">
      <w:rPr>
        <w:rFonts w:ascii="Arial" w:hAnsi="Arial"/>
        <w:color w:val="3E70A3"/>
        <w:sz w:val="22"/>
      </w:rPr>
      <w:tcPr>
        <w:shd w:val="clear" w:color="FFFFFF" w:fill="DAE5F1"/>
      </w:tcPr>
    </w:tblStylePr>
    <w:tblStylePr w:type="band2Horz">
      <w:rPr>
        <w:rFonts w:ascii="Arial" w:hAnsi="Arial"/>
        <w:color w:val="3E70A3"/>
        <w:sz w:val="22"/>
      </w:rPr>
    </w:tblStylePr>
  </w:style>
  <w:style w:type="table" w:customStyle="1" w:styleId="108">
    <w:name w:val="Grid Table 7 Colorful - Accent 2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2DCDB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F2DCDB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09">
    <w:name w:val="Grid Table 7 Colorful - Accent 3"/>
    <w:basedOn w:val="3"/>
    <w:qFormat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5C702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5C702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5C702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5C702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AF0DD"/>
      </w:tcPr>
    </w:tblStylePr>
    <w:tblStylePr w:type="band1Horz">
      <w:rPr>
        <w:rFonts w:ascii="Arial" w:hAnsi="Arial"/>
        <w:color w:val="5C702F"/>
        <w:sz w:val="22"/>
      </w:rPr>
      <w:tcPr>
        <w:shd w:val="clear" w:color="FFFFFF" w:fill="EAF0DD"/>
      </w:tcPr>
    </w:tblStylePr>
    <w:tblStylePr w:type="band2Horz">
      <w:rPr>
        <w:rFonts w:ascii="Arial" w:hAnsi="Arial"/>
        <w:color w:val="5C702F"/>
        <w:sz w:val="22"/>
      </w:rPr>
    </w:tblStylePr>
  </w:style>
  <w:style w:type="table" w:customStyle="1" w:styleId="110">
    <w:name w:val="Grid Table 7 Colorful - Accent 4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5DFEC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E5DFEC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11">
    <w:name w:val="Grid Table 7 Colorful - Accent 5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26677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26677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6677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6677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AEEF3"/>
      </w:tcPr>
    </w:tblStylePr>
    <w:tblStylePr w:type="band1Horz">
      <w:rPr>
        <w:rFonts w:ascii="Arial" w:hAnsi="Arial"/>
        <w:color w:val="266777"/>
        <w:sz w:val="22"/>
      </w:rPr>
      <w:tcPr>
        <w:shd w:val="clear" w:color="FFFFFF" w:fill="DAEEF3"/>
      </w:tcPr>
    </w:tblStylePr>
    <w:tblStylePr w:type="band2Horz">
      <w:rPr>
        <w:rFonts w:ascii="Arial" w:hAnsi="Arial"/>
        <w:color w:val="266777"/>
        <w:sz w:val="22"/>
      </w:rPr>
    </w:tblStylePr>
  </w:style>
  <w:style w:type="table" w:customStyle="1" w:styleId="112">
    <w:name w:val="Grid Table 7 Colorful - Accent 6"/>
    <w:basedOn w:val="3"/>
    <w:uiPriority w:val="99"/>
    <w:pPr>
      <w:spacing w:after="0" w:line="240" w:lineRule="auto"/>
    </w:pPr>
    <w:tblPr>
      <w:tblBorders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b/>
        <w:color w:val="B0530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b/>
        <w:color w:val="B0530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B0530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B0530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DE9D8"/>
      </w:tcPr>
    </w:tblStylePr>
    <w:tblStylePr w:type="band1Horz">
      <w:rPr>
        <w:rFonts w:ascii="Arial" w:hAnsi="Arial"/>
        <w:color w:val="B05307"/>
        <w:sz w:val="22"/>
      </w:rPr>
      <w:tcPr>
        <w:shd w:val="clear" w:color="FFFFFF" w:fill="FDE9D8"/>
      </w:tcPr>
    </w:tblStylePr>
    <w:tblStylePr w:type="band2Horz">
      <w:rPr>
        <w:rFonts w:ascii="Arial" w:hAnsi="Arial"/>
        <w:color w:val="B05307"/>
        <w:sz w:val="22"/>
      </w:rPr>
    </w:tblStylePr>
  </w:style>
  <w:style w:type="table" w:customStyle="1" w:styleId="113">
    <w:name w:val="List Table 1 Light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BFBFBF"/>
      </w:tcPr>
    </w:tblStylePr>
    <w:tblStylePr w:type="band1Horz">
      <w:tcPr>
        <w:shd w:val="clear" w:color="FFFFFF" w:fill="BFBFBF"/>
      </w:tcPr>
    </w:tblStylePr>
  </w:style>
  <w:style w:type="table" w:customStyle="1" w:styleId="114">
    <w:name w:val="List Table 1 Light - Accent 1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3E0EE"/>
      </w:tcPr>
    </w:tblStylePr>
    <w:tblStylePr w:type="band1Horz">
      <w:tcPr>
        <w:shd w:val="clear" w:color="FFFFFF" w:fill="D3E0EE"/>
      </w:tcPr>
    </w:tblStylePr>
  </w:style>
  <w:style w:type="table" w:customStyle="1" w:styleId="115">
    <w:name w:val="List Table 1 Light - Accent 2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FD3D2"/>
      </w:tcPr>
    </w:tblStylePr>
    <w:tblStylePr w:type="band1Horz">
      <w:tcPr>
        <w:shd w:val="clear" w:color="FFFFFF" w:fill="EFD3D2"/>
      </w:tcPr>
    </w:tblStylePr>
  </w:style>
  <w:style w:type="table" w:customStyle="1" w:styleId="116">
    <w:name w:val="List Table 1 Light - Accent 3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E6EED5"/>
      </w:tcPr>
    </w:tblStylePr>
    <w:tblStylePr w:type="band1Horz">
      <w:tcPr>
        <w:shd w:val="clear" w:color="FFFFFF" w:fill="E6EED5"/>
      </w:tcPr>
    </w:tblStylePr>
  </w:style>
  <w:style w:type="table" w:customStyle="1" w:styleId="117">
    <w:name w:val="List Table 1 Light - Accent 4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FD8E7"/>
      </w:tcPr>
    </w:tblStylePr>
    <w:tblStylePr w:type="band1Horz">
      <w:tcPr>
        <w:shd w:val="clear" w:color="FFFFFF" w:fill="DFD8E7"/>
      </w:tcPr>
    </w:tblStylePr>
  </w:style>
  <w:style w:type="table" w:customStyle="1" w:styleId="118">
    <w:name w:val="List Table 1 Light - Accent 5"/>
    <w:basedOn w:val="3"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D1EAF0"/>
      </w:tcPr>
    </w:tblStylePr>
    <w:tblStylePr w:type="band1Horz">
      <w:tcPr>
        <w:shd w:val="clear" w:color="FFFFFF" w:fill="D1EAF0"/>
      </w:tcPr>
    </w:tblStylePr>
  </w:style>
  <w:style w:type="table" w:customStyle="1" w:styleId="119">
    <w:name w:val="List Table 1 Light - Accent 6"/>
    <w:basedOn w:val="3"/>
    <w:qFormat/>
    <w:uiPriority w:val="99"/>
    <w:pPr>
      <w:spacing w:after="0" w:line="240" w:lineRule="auto"/>
    </w:pPr>
    <w:tblPr/>
    <w:tblStylePr w:type="firstRow">
      <w:rPr>
        <w:b/>
        <w:color w:val="404040"/>
      </w:rPr>
      <w:tcPr>
        <w:tcBorders>
          <w:top w:val="nil"/>
          <w:left w:val="nil"/>
          <w:bottom w:val="single" w:color="000000" w:sz="4" w:space="0"/>
          <w:right w:val="nil"/>
        </w:tcBorders>
      </w:tcPr>
    </w:tblStylePr>
    <w:tblStylePr w:type="lastRow">
      <w:rPr>
        <w:b/>
        <w:color w:val="404040"/>
      </w:rPr>
      <w:tcPr>
        <w:tcBorders>
          <w:top w:val="single" w:color="000000" w:sz="4" w:space="0"/>
          <w:left w:val="nil"/>
          <w:bottom w:val="nil"/>
          <w:right w:val="nil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cPr>
        <w:shd w:val="clear" w:color="FFFFFF" w:fill="FCE4D1"/>
      </w:tcPr>
    </w:tblStylePr>
    <w:tblStylePr w:type="band1Horz">
      <w:tcPr>
        <w:shd w:val="clear" w:color="FFFFFF" w:fill="FCE4D1"/>
      </w:tcPr>
    </w:tblStylePr>
  </w:style>
  <w:style w:type="table" w:customStyle="1" w:styleId="120">
    <w:name w:val="List Table 2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21">
    <w:name w:val="List Table 2 - Accent 1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22">
    <w:name w:val="List Table 2 - Accent 2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23">
    <w:name w:val="List Table 2 - Accent 3"/>
    <w:basedOn w:val="3"/>
    <w:qFormat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24">
    <w:name w:val="List Table 2 - Accent 4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25">
    <w:name w:val="List Table 2 - Accent 5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26">
    <w:name w:val="List Table 2 - Accent 6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sz="4" w:space="0"/>
          <w:left w:val="nil"/>
          <w:bottom w:val="single" w:color="000000" w:sz="4" w:space="0"/>
          <w:right w:val="nil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27">
    <w:name w:val="List Table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8">
    <w:name w:val="List Table 3 - Accent 1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29">
    <w:name w:val="List Table 3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D9969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0">
    <w:name w:val="List Table 3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3D69B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1">
    <w:name w:val="List Table 3 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B2A1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2">
    <w:name w:val="List Table 3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1CDDC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3">
    <w:name w:val="List Table 3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9BF9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bottom w:val="single" w:color="000000" w:sz="4" w:space="0"/>
        </w:tcBorders>
      </w:tcPr>
    </w:tblStylePr>
  </w:style>
  <w:style w:type="table" w:customStyle="1" w:styleId="134">
    <w:name w:val="List Table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000000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</w:style>
  <w:style w:type="table" w:customStyle="1" w:styleId="135">
    <w:name w:val="List Table 4 - Accent 1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F81B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</w:style>
  <w:style w:type="table" w:customStyle="1" w:styleId="136">
    <w:name w:val="List Table 4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C0504D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</w:style>
  <w:style w:type="table" w:customStyle="1" w:styleId="137">
    <w:name w:val="List Table 4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9BBB59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</w:style>
  <w:style w:type="table" w:customStyle="1" w:styleId="138">
    <w:name w:val="List Table 4 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8064A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</w:style>
  <w:style w:type="table" w:customStyle="1" w:styleId="139">
    <w:name w:val="List Table 4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4BACC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</w:style>
  <w:style w:type="table" w:customStyle="1" w:styleId="140">
    <w:name w:val="List Table 4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</w:tblBorders>
    </w:tblPr>
    <w:tblStylePr w:type="firstRow">
      <w:rPr>
        <w:rFonts w:ascii="Arial" w:hAnsi="Arial"/>
        <w:b/>
        <w:color w:val="FFFFFF"/>
        <w:sz w:val="22"/>
      </w:rPr>
      <w:tcPr>
        <w:shd w:val="clear" w:color="FFFFFF" w:fill="F7964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</w:style>
  <w:style w:type="table" w:customStyle="1" w:styleId="141">
    <w:name w:val="List Table 5 Dark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7F7F7F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7F7F7F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7F7F7F"/>
      </w:tcPr>
    </w:tblStylePr>
  </w:style>
  <w:style w:type="table" w:customStyle="1" w:styleId="142">
    <w:name w:val="List Table 5 Dark - Accent 1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4F81BD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4F81BD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4F81BD"/>
      </w:tcPr>
    </w:tblStylePr>
  </w:style>
  <w:style w:type="table" w:customStyle="1" w:styleId="143">
    <w:name w:val="List Table 5 Dark - Accent 2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D99694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D99694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D99694"/>
      </w:tcPr>
    </w:tblStylePr>
  </w:style>
  <w:style w:type="table" w:customStyle="1" w:styleId="144">
    <w:name w:val="List Table 5 Dark - Accent 3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C3D69B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C3D69B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C3D69B"/>
      </w:tcPr>
    </w:tblStylePr>
  </w:style>
  <w:style w:type="table" w:customStyle="1" w:styleId="145">
    <w:name w:val="List Table 5 Dark - Accent 4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B2A1C6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B2A1C6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B2A1C6"/>
      </w:tcPr>
    </w:tblStylePr>
  </w:style>
  <w:style w:type="table" w:customStyle="1" w:styleId="146">
    <w:name w:val="List Table 5 Dark - Accent 5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91CDDC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91CDDC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91CDDC"/>
      </w:tcPr>
    </w:tblStylePr>
  </w:style>
  <w:style w:type="table" w:customStyle="1" w:styleId="147">
    <w:name w:val="List Table 5 Dark - Accent 6"/>
    <w:basedOn w:val="3"/>
    <w:uiPriority w:val="99"/>
    <w:pPr>
      <w:spacing w:after="0" w:line="240" w:lineRule="auto"/>
    </w:pPr>
    <w:tblPr>
      <w:tblBorders>
        <w:top w:val="single" w:color="000000" w:sz="32" w:space="0"/>
        <w:left w:val="single" w:color="000000" w:sz="32" w:space="0"/>
        <w:bottom w:val="single" w:color="000000" w:sz="32" w:space="0"/>
        <w:right w:val="single" w:color="000000" w:sz="32" w:space="0"/>
      </w:tblBorders>
    </w:tbl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sz="32" w:space="0"/>
          <w:bottom w:val="single" w:color="000000" w:sz="12" w:space="0"/>
        </w:tcBorders>
        <w:shd w:val="clear" w:color="FFFFFF" w:fill="F9BF90"/>
      </w:tcPr>
    </w:tblStylePr>
    <w:tblStylePr w:type="lastRow">
      <w:rPr>
        <w:rFonts w:ascii="Arial" w:hAnsi="Arial"/>
        <w:b/>
        <w:color w:val="FFFFFF"/>
        <w:sz w:val="22"/>
      </w:rPr>
    </w:tblStylePr>
    <w:tblStylePr w:type="firstCol">
      <w:rPr>
        <w:rFonts w:ascii="Arial" w:hAnsi="Arial"/>
        <w:b/>
        <w:color w:val="FFFFFF"/>
        <w:sz w:val="22"/>
      </w:rPr>
      <w:tcPr>
        <w:tcBorders>
          <w:left w:val="single" w:color="000000" w:sz="32" w:space="0"/>
          <w:right w:val="single" w:color="000000" w:sz="4" w:space="0"/>
        </w:tcBorders>
      </w:tcPr>
    </w:tblStylePr>
    <w:tblStylePr w:type="lastCol">
      <w:tcPr>
        <w:tcBorders>
          <w:left w:val="single" w:color="000000" w:sz="4" w:space="0"/>
          <w:right w:val="single" w:color="000000" w:sz="32" w:space="0"/>
        </w:tcBorders>
      </w:tcPr>
    </w:tblStylePr>
    <w:tblStylePr w:type="band1Vert">
      <w:tcPr>
        <w:tcBorders>
          <w:left w:val="single" w:color="000000" w:sz="4" w:space="0"/>
          <w:right w:val="single" w:color="000000" w:sz="4" w:space="0"/>
        </w:tcBorders>
        <w:shd w:val="clear" w:color="FFFFFF" w:fill="F9BF90"/>
      </w:tcPr>
    </w:tblStylePr>
    <w:tblStylePr w:type="band2Vert">
      <w:tcPr>
        <w:tcBorders>
          <w:left w:val="single" w:color="000000" w:sz="4" w:space="0"/>
          <w:right w:val="single" w:color="000000" w:sz="4" w:space="0"/>
        </w:tcBorders>
      </w:tcPr>
    </w:tblStylePr>
    <w:tblStylePr w:type="band1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  <w:tblStylePr w:type="band2Horz">
      <w:tcPr>
        <w:tcBorders>
          <w:top w:val="single" w:color="000000" w:sz="4" w:space="0"/>
          <w:bottom w:val="single" w:color="000000" w:sz="4" w:space="0"/>
        </w:tcBorders>
        <w:shd w:val="clear" w:color="FFFFFF" w:fill="F9BF90"/>
      </w:tcPr>
    </w:tblStylePr>
  </w:style>
  <w:style w:type="table" w:customStyle="1" w:styleId="148">
    <w:name w:val="List Table 6 Colorful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00000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000000"/>
      </w:rPr>
      <w:tcPr>
        <w:tcBorders>
          <w:top w:val="single" w:color="000000" w:sz="4" w:space="0"/>
        </w:tcBorders>
      </w:tcPr>
    </w:tblStylePr>
    <w:tblStylePr w:type="firstCol">
      <w:rPr>
        <w:b/>
        <w:color w:val="000000"/>
      </w:rPr>
    </w:tblStylePr>
    <w:tblStylePr w:type="lastCol">
      <w:rPr>
        <w:b/>
        <w:color w:val="000000"/>
      </w:r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49">
    <w:name w:val="List Table 6 Colorful - Accent 1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2A4B71"/>
      </w:rPr>
      <w:tcPr>
        <w:tcBorders>
          <w:bottom w:val="single" w:color="000000" w:sz="4" w:space="0"/>
        </w:tcBorders>
      </w:tcPr>
    </w:tblStylePr>
    <w:tblStylePr w:type="lastRow">
      <w:rPr>
        <w:b/>
        <w:color w:val="2A4B71"/>
      </w:rPr>
      <w:tcPr>
        <w:tcBorders>
          <w:top w:val="single" w:color="000000" w:sz="4" w:space="0"/>
        </w:tcBorders>
      </w:tcPr>
    </w:tblStylePr>
    <w:tblStylePr w:type="firstCol">
      <w:rPr>
        <w:b/>
        <w:color w:val="2A4B71"/>
      </w:rPr>
    </w:tblStylePr>
    <w:tblStylePr w:type="lastCol">
      <w:rPr>
        <w:b/>
        <w:color w:val="2A4B71"/>
      </w:r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0">
    <w:name w:val="List Table 6 Colorful - Accent 2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9C3A37"/>
      </w:rPr>
      <w:tcPr>
        <w:tcBorders>
          <w:bottom w:val="single" w:color="000000" w:sz="4" w:space="0"/>
        </w:tcBorders>
      </w:tcPr>
    </w:tblStylePr>
    <w:tblStylePr w:type="lastRow">
      <w:rPr>
        <w:b/>
        <w:color w:val="9C3A37"/>
      </w:rPr>
      <w:tcPr>
        <w:tcBorders>
          <w:top w:val="single" w:color="000000" w:sz="4" w:space="0"/>
        </w:tcBorders>
      </w:tcPr>
    </w:tblStylePr>
    <w:tblStylePr w:type="firstCol">
      <w:rPr>
        <w:b/>
        <w:color w:val="9C3A37"/>
      </w:rPr>
    </w:tblStylePr>
    <w:tblStylePr w:type="lastCol">
      <w:rPr>
        <w:b/>
        <w:color w:val="9C3A37"/>
      </w:r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1">
    <w:name w:val="List Table 6 Colorful - Accent 3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7C983F"/>
      </w:rPr>
      <w:tcPr>
        <w:tcBorders>
          <w:bottom w:val="single" w:color="000000" w:sz="4" w:space="0"/>
        </w:tcBorders>
      </w:tcPr>
    </w:tblStylePr>
    <w:tblStylePr w:type="lastRow">
      <w:rPr>
        <w:b/>
        <w:color w:val="7C983F"/>
      </w:rPr>
      <w:tcPr>
        <w:tcBorders>
          <w:top w:val="single" w:color="000000" w:sz="4" w:space="0"/>
        </w:tcBorders>
      </w:tcPr>
    </w:tblStylePr>
    <w:tblStylePr w:type="firstCol">
      <w:rPr>
        <w:b/>
        <w:color w:val="7C983F"/>
      </w:rPr>
    </w:tblStylePr>
    <w:tblStylePr w:type="lastCol">
      <w:rPr>
        <w:b/>
        <w:color w:val="7C983F"/>
      </w:r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2">
    <w:name w:val="List Table 6 Colorful - Accent 4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664F82"/>
      </w:rPr>
      <w:tcPr>
        <w:tcBorders>
          <w:bottom w:val="single" w:color="000000" w:sz="4" w:space="0"/>
        </w:tcBorders>
      </w:tcPr>
    </w:tblStylePr>
    <w:tblStylePr w:type="lastRow">
      <w:rPr>
        <w:b/>
        <w:color w:val="664F82"/>
      </w:rPr>
      <w:tcPr>
        <w:tcBorders>
          <w:top w:val="single" w:color="000000" w:sz="4" w:space="0"/>
        </w:tcBorders>
      </w:tcPr>
    </w:tblStylePr>
    <w:tblStylePr w:type="firstCol">
      <w:rPr>
        <w:b/>
        <w:color w:val="664F82"/>
      </w:rPr>
    </w:tblStylePr>
    <w:tblStylePr w:type="lastCol">
      <w:rPr>
        <w:b/>
        <w:color w:val="664F82"/>
      </w:r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3">
    <w:name w:val="List Table 6 Colorful - Accent 5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338AA0"/>
      </w:rPr>
      <w:tcPr>
        <w:tcBorders>
          <w:bottom w:val="single" w:color="000000" w:sz="4" w:space="0"/>
        </w:tcBorders>
      </w:tcPr>
    </w:tblStylePr>
    <w:tblStylePr w:type="lastRow">
      <w:rPr>
        <w:b/>
        <w:color w:val="338AA0"/>
      </w:rPr>
      <w:tcPr>
        <w:tcBorders>
          <w:top w:val="single" w:color="000000" w:sz="4" w:space="0"/>
        </w:tcBorders>
      </w:tcPr>
    </w:tblStylePr>
    <w:tblStylePr w:type="firstCol">
      <w:rPr>
        <w:b/>
        <w:color w:val="338AA0"/>
      </w:rPr>
    </w:tblStylePr>
    <w:tblStylePr w:type="lastCol">
      <w:rPr>
        <w:b/>
        <w:color w:val="338AA0"/>
      </w:r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4">
    <w:name w:val="List Table 6 Colorful - Accent 6"/>
    <w:basedOn w:val="3"/>
    <w:uiPriority w:val="99"/>
    <w:pPr>
      <w:spacing w:after="0" w:line="240" w:lineRule="auto"/>
    </w:pPr>
    <w:tblPr>
      <w:tblBorders>
        <w:top w:val="single" w:color="000000" w:sz="4" w:space="0"/>
        <w:bottom w:val="single" w:color="000000" w:sz="4" w:space="0"/>
      </w:tblBorders>
    </w:tblPr>
    <w:tblStylePr w:type="firstRow">
      <w:rPr>
        <w:b/>
        <w:color w:val="D9680C"/>
      </w:rPr>
      <w:tcPr>
        <w:tcBorders>
          <w:bottom w:val="single" w:color="000000" w:sz="4" w:space="0"/>
        </w:tcBorders>
      </w:tcPr>
    </w:tblStylePr>
    <w:tblStylePr w:type="lastRow">
      <w:rPr>
        <w:b/>
        <w:color w:val="D9680C"/>
      </w:rPr>
      <w:tcPr>
        <w:tcBorders>
          <w:top w:val="single" w:color="000000" w:sz="4" w:space="0"/>
        </w:tcBorders>
      </w:tcPr>
    </w:tblStylePr>
    <w:tblStylePr w:type="firstCol">
      <w:rPr>
        <w:b/>
        <w:color w:val="D9680C"/>
      </w:rPr>
    </w:tblStylePr>
    <w:tblStylePr w:type="lastCol">
      <w:rPr>
        <w:b/>
        <w:color w:val="D9680C"/>
      </w:r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404040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404040"/>
        <w:sz w:val="22"/>
      </w:rPr>
    </w:tblStylePr>
  </w:style>
  <w:style w:type="table" w:customStyle="1" w:styleId="155">
    <w:name w:val="List Table 7 Colorful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4A4A4A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4A4A4A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4A4A4A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BFBFBF"/>
      </w:tcPr>
    </w:tblStylePr>
    <w:tblStylePr w:type="band1Horz">
      <w:rPr>
        <w:rFonts w:ascii="Arial" w:hAnsi="Arial"/>
        <w:color w:val="4A4A4A"/>
        <w:sz w:val="22"/>
      </w:rPr>
      <w:tcPr>
        <w:shd w:val="clear" w:color="FFFFFF" w:fill="BFBFBF"/>
      </w:tcPr>
    </w:tblStylePr>
    <w:tblStylePr w:type="band2Horz">
      <w:rPr>
        <w:rFonts w:ascii="Arial" w:hAnsi="Arial"/>
        <w:color w:val="4A4A4A"/>
        <w:sz w:val="22"/>
      </w:rPr>
    </w:tblStylePr>
  </w:style>
  <w:style w:type="table" w:customStyle="1" w:styleId="156">
    <w:name w:val="List Table 7 Colorful - Accent 1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2A4B71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2A4B71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2A4B71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3E0EE"/>
      </w:tcPr>
    </w:tblStylePr>
    <w:tblStylePr w:type="band1Horz">
      <w:rPr>
        <w:rFonts w:ascii="Arial" w:hAnsi="Arial"/>
        <w:color w:val="2A4B71"/>
        <w:sz w:val="22"/>
      </w:rPr>
      <w:tcPr>
        <w:shd w:val="clear" w:color="FFFFFF" w:fill="D3E0EE"/>
      </w:tcPr>
    </w:tblStylePr>
    <w:tblStylePr w:type="band2Horz">
      <w:rPr>
        <w:rFonts w:ascii="Arial" w:hAnsi="Arial"/>
        <w:color w:val="2A4B71"/>
        <w:sz w:val="22"/>
      </w:rPr>
    </w:tblStylePr>
  </w:style>
  <w:style w:type="table" w:customStyle="1" w:styleId="157">
    <w:name w:val="List Table 7 Colorful - Accent 2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9C3A37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9C3A37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9C3A37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FD3D2"/>
      </w:tcPr>
    </w:tblStylePr>
    <w:tblStylePr w:type="band1Horz">
      <w:rPr>
        <w:rFonts w:ascii="Arial" w:hAnsi="Arial"/>
        <w:color w:val="9C3A37"/>
        <w:sz w:val="22"/>
      </w:rPr>
      <w:tcPr>
        <w:shd w:val="clear" w:color="FFFFFF" w:fill="EFD3D2"/>
      </w:tcPr>
    </w:tblStylePr>
    <w:tblStylePr w:type="band2Horz">
      <w:rPr>
        <w:rFonts w:ascii="Arial" w:hAnsi="Arial"/>
        <w:color w:val="9C3A37"/>
        <w:sz w:val="22"/>
      </w:rPr>
    </w:tblStylePr>
  </w:style>
  <w:style w:type="table" w:customStyle="1" w:styleId="158">
    <w:name w:val="List Table 7 Colorful - Accent 3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7C983F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7C983F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7C983F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E6EED5"/>
      </w:tcPr>
    </w:tblStylePr>
    <w:tblStylePr w:type="band1Horz">
      <w:rPr>
        <w:rFonts w:ascii="Arial" w:hAnsi="Arial"/>
        <w:color w:val="7C983F"/>
        <w:sz w:val="22"/>
      </w:rPr>
      <w:tcPr>
        <w:shd w:val="clear" w:color="FFFFFF" w:fill="E6EED5"/>
      </w:tcPr>
    </w:tblStylePr>
    <w:tblStylePr w:type="band2Horz">
      <w:rPr>
        <w:rFonts w:ascii="Arial" w:hAnsi="Arial"/>
        <w:color w:val="7C983F"/>
        <w:sz w:val="22"/>
      </w:rPr>
    </w:tblStylePr>
  </w:style>
  <w:style w:type="table" w:customStyle="1" w:styleId="159">
    <w:name w:val="List Table 7 Colorful - Accent 4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664F82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664F82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664F82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FD8E7"/>
      </w:tcPr>
    </w:tblStylePr>
    <w:tblStylePr w:type="band1Horz">
      <w:rPr>
        <w:rFonts w:ascii="Arial" w:hAnsi="Arial"/>
        <w:color w:val="664F82"/>
        <w:sz w:val="22"/>
      </w:rPr>
      <w:tcPr>
        <w:shd w:val="clear" w:color="FFFFFF" w:fill="DFD8E7"/>
      </w:tcPr>
    </w:tblStylePr>
    <w:tblStylePr w:type="band2Horz">
      <w:rPr>
        <w:rFonts w:ascii="Arial" w:hAnsi="Arial"/>
        <w:color w:val="664F82"/>
        <w:sz w:val="22"/>
      </w:rPr>
    </w:tblStylePr>
  </w:style>
  <w:style w:type="table" w:customStyle="1" w:styleId="160">
    <w:name w:val="List Table 7 Colorful - Accent 5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338AA0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338AA0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338AA0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D1EAF0"/>
      </w:tcPr>
    </w:tblStylePr>
    <w:tblStylePr w:type="band1Horz">
      <w:rPr>
        <w:rFonts w:ascii="Arial" w:hAnsi="Arial"/>
        <w:color w:val="338AA0"/>
        <w:sz w:val="22"/>
      </w:rPr>
      <w:tcPr>
        <w:shd w:val="clear" w:color="FFFFFF" w:fill="D1EAF0"/>
      </w:tcPr>
    </w:tblStylePr>
    <w:tblStylePr w:type="band2Horz">
      <w:rPr>
        <w:rFonts w:ascii="Arial" w:hAnsi="Arial"/>
        <w:color w:val="338AA0"/>
        <w:sz w:val="22"/>
      </w:rPr>
    </w:tblStylePr>
  </w:style>
  <w:style w:type="table" w:customStyle="1" w:styleId="161">
    <w:name w:val="List Table 7 Colorful - Accent 6"/>
    <w:basedOn w:val="3"/>
    <w:uiPriority w:val="99"/>
    <w:pPr>
      <w:spacing w:after="0" w:line="240" w:lineRule="auto"/>
    </w:pPr>
    <w:tblPr>
      <w:tblBorders>
        <w:right w:val="single" w:color="000000" w:sz="4" w:space="0"/>
      </w:tblBorders>
    </w:tblPr>
    <w:tblStylePr w:type="firstRow"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single" w:color="000000" w:sz="4" w:space="0"/>
          <w:right w:val="nil"/>
        </w:tcBorders>
        <w:shd w:val="clear" w:color="FFFFFF" w:fill="FFFFFF"/>
      </w:tcPr>
    </w:tblStylePr>
    <w:tblStylePr w:type="lastRow">
      <w:rPr>
        <w:rFonts w:ascii="Arial" w:hAnsi="Arial"/>
        <w:i/>
        <w:color w:val="D9680C"/>
        <w:sz w:val="22"/>
      </w:rPr>
      <w:tcPr>
        <w:tcBorders>
          <w:top w:val="single" w:color="000000" w:sz="4" w:space="0"/>
          <w:left w:val="nil"/>
          <w:bottom w:val="nil"/>
          <w:right w:val="nil"/>
        </w:tcBorders>
        <w:shd w:val="clear" w:color="FFFFFF" w:fill="FFFFFF"/>
      </w:tcPr>
    </w:tblStylePr>
    <w:tblStylePr w:type="firstCol">
      <w:pPr>
        <w:jc w:val="right"/>
      </w:pPr>
      <w:rPr>
        <w:rFonts w:ascii="Arial" w:hAnsi="Arial"/>
        <w:i/>
        <w:color w:val="D9680C"/>
        <w:sz w:val="22"/>
      </w:rPr>
      <w:tcPr>
        <w:tcBorders>
          <w:top w:val="nil"/>
          <w:left w:val="nil"/>
          <w:bottom w:val="nil"/>
          <w:right w:val="single" w:color="000000" w:sz="4" w:space="0"/>
        </w:tcBorders>
        <w:shd w:val="clear" w:color="FFFFFF" w:fill="auto"/>
      </w:tcPr>
    </w:tblStylePr>
    <w:tblStylePr w:type="lastCol">
      <w:rPr>
        <w:rFonts w:ascii="Arial" w:hAnsi="Arial"/>
        <w:i/>
        <w:color w:val="D9680C"/>
        <w:sz w:val="22"/>
      </w:rPr>
      <w:tcPr>
        <w:tcBorders>
          <w:top w:val="nil"/>
          <w:left w:val="single" w:color="000000" w:sz="4" w:space="0"/>
          <w:bottom w:val="nil"/>
          <w:right w:val="nil"/>
        </w:tcBorders>
        <w:shd w:val="clear" w:color="FFFFFF" w:fill="auto"/>
      </w:tcPr>
    </w:tblStylePr>
    <w:tblStylePr w:type="band1Vert">
      <w:tcPr>
        <w:shd w:val="clear" w:color="FFFFFF" w:fill="FCE4D1"/>
      </w:tcPr>
    </w:tblStylePr>
    <w:tblStylePr w:type="band1Horz">
      <w:rPr>
        <w:rFonts w:ascii="Arial" w:hAnsi="Arial"/>
        <w:color w:val="D9680C"/>
        <w:sz w:val="22"/>
      </w:rPr>
      <w:tcPr>
        <w:shd w:val="clear" w:color="FFFFFF" w:fill="FCE4D1"/>
      </w:tcPr>
    </w:tblStylePr>
    <w:tblStylePr w:type="band2Horz">
      <w:rPr>
        <w:rFonts w:ascii="Arial" w:hAnsi="Arial"/>
        <w:color w:val="D9680C"/>
        <w:sz w:val="22"/>
      </w:rPr>
    </w:tblStylePr>
  </w:style>
  <w:style w:type="table" w:customStyle="1" w:styleId="162">
    <w:name w:val="Lined - Accent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63">
    <w:name w:val="Lined - Accent 1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64">
    <w:name w:val="Lined - Accent 2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65">
    <w:name w:val="Lined - Accent 3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66">
    <w:name w:val="Lined - Accent 4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67">
    <w:name w:val="Lined - Accent 5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68">
    <w:name w:val="Lined - Accent 6"/>
    <w:basedOn w:val="3"/>
    <w:uiPriority w:val="99"/>
    <w:pPr>
      <w:spacing w:after="0" w:line="240" w:lineRule="auto"/>
    </w:pPr>
    <w:rPr>
      <w:color w:val="404040"/>
    </w:rPr>
    <w:tblPr/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69">
    <w:name w:val="Bordered &amp; Lined - Accent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7F7F7F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F2F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F2F2"/>
      </w:tcPr>
    </w:tblStylePr>
  </w:style>
  <w:style w:type="table" w:customStyle="1" w:styleId="170">
    <w:name w:val="Bordered &amp; Lined - Accent 1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5D8DC2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C7D7EA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C7D7EA"/>
      </w:tcPr>
    </w:tblStylePr>
  </w:style>
  <w:style w:type="table" w:customStyle="1" w:styleId="171">
    <w:name w:val="Bordered &amp; Lined - Accent 2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D99694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2DCDB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2DCDB"/>
      </w:tcPr>
    </w:tblStylePr>
  </w:style>
  <w:style w:type="table" w:customStyle="1" w:styleId="172">
    <w:name w:val="Bordered &amp; Lined - Accent 3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9BBA59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AF0D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AF0DD"/>
      </w:tcPr>
    </w:tblStylePr>
  </w:style>
  <w:style w:type="table" w:customStyle="1" w:styleId="173">
    <w:name w:val="Bordered &amp; Lined - Accent 4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B2A1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E5DFEC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E5DFEC"/>
      </w:tcPr>
    </w:tblStylePr>
  </w:style>
  <w:style w:type="table" w:customStyle="1" w:styleId="174">
    <w:name w:val="Bordered &amp; Lined - Accent 5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4BACC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DAEEF3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DAEEF3"/>
      </w:tcPr>
    </w:tblStylePr>
  </w:style>
  <w:style w:type="table" w:customStyle="1" w:styleId="175">
    <w:name w:val="Bordered &amp; Lined - Accent 6"/>
    <w:basedOn w:val="3"/>
    <w:uiPriority w:val="99"/>
    <w:pPr>
      <w:spacing w:after="0" w:line="240" w:lineRule="auto"/>
    </w:pPr>
    <w:rPr>
      <w:color w:val="40404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fill="F7964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cPr>
        <w:shd w:val="clear" w:color="FFFFFF" w:fill="FDE9D8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fill="FDE9D8"/>
      </w:tcPr>
    </w:tblStylePr>
  </w:style>
  <w:style w:type="table" w:customStyle="1" w:styleId="176">
    <w:name w:val="Bordered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7">
    <w:name w:val="Bordered - Accent 1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8">
    <w:name w:val="Bordered - Accent 2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79">
    <w:name w:val="Bordered - Accent 3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0">
    <w:name w:val="Bordered - Accent 4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1">
    <w:name w:val="Bordered - Accent 5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table" w:customStyle="1" w:styleId="182">
    <w:name w:val="Bordered - Accent 6"/>
    <w:basedOn w:val="3"/>
    <w:uiPriority w:val="99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/>
        </w:tcBorders>
      </w:tcPr>
    </w:tblStyle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</w:tcBorders>
      </w:tcPr>
    </w:tblStylePr>
  </w:style>
  <w:style w:type="character" w:customStyle="1" w:styleId="183">
    <w:name w:val="Endnote Text Char"/>
    <w:link w:val="9"/>
    <w:uiPriority w:val="99"/>
    <w:rPr>
      <w:sz w:val="20"/>
    </w:rPr>
  </w:style>
  <w:style w:type="paragraph" w:customStyle="1" w:styleId="184">
    <w:name w:val="TOC Heading"/>
    <w:uiPriority w:val="39"/>
    <w:pPr>
      <w:spacing w:before="0" w:beforeAutospacing="0" w:after="200" w:afterAutospacing="0" w:line="276" w:lineRule="auto"/>
    </w:pPr>
    <w:rPr>
      <w:rFonts w:hint="default" w:ascii="Calibri" w:hAnsi="Calibri" w:eastAsia="Calibri" w:cs="SimSun"/>
      <w:sz w:val="22"/>
      <w:szCs w:val="22"/>
      <w:lang w:val="en-US" w:eastAsia="en-US" w:bidi="ar-SA"/>
    </w:rPr>
  </w:style>
  <w:style w:type="paragraph" w:styleId="185">
    <w:name w:val="List Paragraph"/>
    <w:basedOn w:val="1"/>
    <w:qFormat/>
    <w:uiPriority w:val="34"/>
    <w:pPr>
      <w:spacing w:after="160" w:line="259" w:lineRule="auto"/>
      <w:ind w:left="720"/>
      <w:contextualSpacing/>
    </w:pPr>
  </w:style>
  <w:style w:type="character" w:customStyle="1" w:styleId="186">
    <w:name w:val="Footnote Text Char"/>
    <w:basedOn w:val="2"/>
    <w:link w:val="11"/>
    <w:uiPriority w:val="99"/>
    <w:rPr>
      <w:sz w:val="20"/>
      <w:szCs w:val="20"/>
    </w:rPr>
  </w:style>
  <w:style w:type="character" w:customStyle="1" w:styleId="187">
    <w:name w:val="Comment Text Char"/>
    <w:basedOn w:val="2"/>
    <w:link w:val="6"/>
    <w:uiPriority w:val="99"/>
    <w:rPr>
      <w:sz w:val="20"/>
      <w:szCs w:val="20"/>
    </w:rPr>
  </w:style>
  <w:style w:type="character" w:customStyle="1" w:styleId="188">
    <w:name w:val="Comment Subject Char"/>
    <w:basedOn w:val="187"/>
    <w:link w:val="7"/>
    <w:uiPriority w:val="99"/>
    <w:rPr>
      <w:b/>
      <w:bCs/>
    </w:rPr>
  </w:style>
  <w:style w:type="character" w:customStyle="1" w:styleId="189">
    <w:name w:val="Balloon Text Char"/>
    <w:basedOn w:val="2"/>
    <w:link w:val="4"/>
    <w:uiPriority w:val="99"/>
    <w:rPr>
      <w:rFonts w:ascii="Tahoma" w:hAnsi="Tahoma" w:cs="Tahoma"/>
      <w:sz w:val="16"/>
      <w:szCs w:val="16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3.xml"/><Relationship Id="rId8" Type="http://schemas.openxmlformats.org/officeDocument/2006/relationships/customXml" Target="../customXml/item2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7.xml"/><Relationship Id="rId12" Type="http://schemas.openxmlformats.org/officeDocument/2006/relationships/customXml" Target="../customXml/item6.xml"/><Relationship Id="rId11" Type="http://schemas.openxmlformats.org/officeDocument/2006/relationships/customXml" Target="../customXml/item5.xml"/><Relationship Id="rId10" Type="http://schemas.openxmlformats.org/officeDocument/2006/relationships/customXml" Target="../customXml/item4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2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5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6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7.xml><?xml version="1.0" encoding="utf-8"?>
<mcd:customData xmlns="http://www.wps.cn/android/officeDocument/2013/mofficeCustomData" xmlns:mcd="http://www.wps.cn/android/officeDocument/2013/mofficeCustomData" version="2">
  <mcd:comments/>
</mcd:customData>
</file>

<file path=customXml/itemProps1.xml><?xml version="1.0" encoding="utf-8"?>
<ds:datastoreItem xmlns:ds="http://schemas.openxmlformats.org/officeDocument/2006/customXml" ds:itemID="{B9BC8D52-E32E-4F42-AFD5-AD2794A036D6}">
  <ds:schemaRefs/>
</ds:datastoreItem>
</file>

<file path=customXml/itemProps2.xml><?xml version="1.0" encoding="utf-8"?>
<ds:datastoreItem xmlns:ds="http://schemas.openxmlformats.org/officeDocument/2006/customXml" ds:itemID="{F96C6743-A6C5-48EA-AC12-B8A9D872EB2D}">
  <ds:schemaRefs/>
</ds:datastoreItem>
</file>

<file path=customXml/itemProps3.xml><?xml version="1.0" encoding="utf-8"?>
<ds:datastoreItem xmlns:ds="http://schemas.openxmlformats.org/officeDocument/2006/customXml" ds:itemID="{8CBA0FAD-3858-4184-90FD-03590A3C6B3E}">
  <ds:schemaRefs/>
</ds:datastoreItem>
</file>

<file path=customXml/itemProps4.xml><?xml version="1.0" encoding="utf-8"?>
<ds:datastoreItem xmlns:ds="http://schemas.openxmlformats.org/officeDocument/2006/customXml" ds:itemID="{6315C32B-2931-48CD-B062-3E7DDEA3E743}">
  <ds:schemaRefs/>
</ds:datastoreItem>
</file>

<file path=customXml/itemProps5.xml><?xml version="1.0" encoding="utf-8"?>
<ds:datastoreItem xmlns:ds="http://schemas.openxmlformats.org/officeDocument/2006/customXml" ds:itemID="{82741DA0-BF77-45D5-BA07-1F1A62B087E0}">
  <ds:schemaRefs/>
</ds:datastoreItem>
</file>

<file path=customXml/itemProps6.xml><?xml version="1.0" encoding="utf-8"?>
<ds:datastoreItem xmlns:ds="http://schemas.openxmlformats.org/officeDocument/2006/customXml" ds:itemID="{02C07DBA-8D30-4CFF-80A4-5AF8A44C2194}">
  <ds:schemaRefs/>
</ds:datastoreItem>
</file>

<file path=customXml/itemProps7.xml><?xml version="1.0" encoding="utf-8"?>
<ds:datastoreItem xmlns:ds="http://schemas.openxmlformats.org/officeDocument/2006/customXml" ds:itemID="{FFC81EFB-FB81-4880-9F49-F16C33DEC37C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Agenda 2020</Company>
  <Words>2856</Words>
  <Characters>17217</Characters>
  <Paragraphs>102</Paragraphs>
  <TotalTime>0</TotalTime>
  <ScaleCrop>false</ScaleCrop>
  <LinksUpToDate>false</LinksUpToDate>
  <CharactersWithSpaces>20047</CharactersWithSpaces>
  <Application>WPS Office_11.2.0.11537_F1E327BC-269C-435d-A152-05C5408002CA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2023-08-27T23:28:00Z</dcterms:created>
  <dc:creator>WPS Office</dc:creator>
  <cp:lastModifiedBy>Vesna Andric</cp:lastModifiedBy>
  <dcterms:modified xsi:type="dcterms:W3CDTF">2023-08-28T13:44:48Z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DD3CC4B541AC4376B2DC480010A0FCAB</vt:lpwstr>
  </property>
  <property fmtid="{D5CDD505-2E9C-101B-9397-08002B2CF9AE}" pid="3" name="KSOProductBuildVer">
    <vt:lpwstr>1033-11.2.0.11537</vt:lpwstr>
  </property>
</Properties>
</file>